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513" w:leader="none"/>
          <w:tab w:val="right" w:pos="9026"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w:t>
      </w:r>
    </w:p>
    <w:p>
      <w:pPr>
        <w:pStyle w:val="Normal"/>
        <w:tabs>
          <w:tab w:val="clear" w:pos="720"/>
          <w:tab w:val="center" w:pos="4513" w:leader="none"/>
          <w:tab w:val="right" w:pos="9026" w:leader="none"/>
        </w:tabs>
        <w:spacing w:lineRule="auto" w:line="24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1"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Normal"/>
        <w:tabs>
          <w:tab w:val="clear" w:pos="720"/>
          <w:tab w:val="center" w:pos="4513" w:leader="none"/>
          <w:tab w:val="right" w:pos="9026" w:leader="none"/>
        </w:tabs>
        <w:spacing w:lineRule="auto" w:line="240" w:before="0" w:after="0"/>
        <w:jc w:val="center"/>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 xml:space="preserve">Following is a template policy </w:t>
      </w:r>
      <w:r>
        <w:rPr>
          <w:rFonts w:eastAsia="Verdana" w:cs="Verdana" w:ascii="Verdana" w:hAnsi="Verdana"/>
          <w:color w:val="4472C4"/>
          <w:sz w:val="20"/>
          <w:szCs w:val="20"/>
        </w:rPr>
        <w:t xml:space="preserve">that can be used where you own a studio/space which is used for activities which are not covered by the Framework (such as events or sports).  </w:t>
      </w:r>
    </w:p>
    <w:p>
      <w:pPr>
        <w:pStyle w:val="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Style w:val="a7"/>
        <w:tblW w:w="8879" w:type="dxa"/>
        <w:jc w:val="left"/>
        <w:tblInd w:w="137" w:type="dxa"/>
        <w:tblCellMar>
          <w:top w:w="0" w:type="dxa"/>
          <w:left w:w="108" w:type="dxa"/>
          <w:bottom w:w="0" w:type="dxa"/>
          <w:right w:w="108" w:type="dxa"/>
        </w:tblCellMar>
        <w:tblLook w:val="0400" w:noVBand="1" w:noHBand="0" w:lastColumn="0" w:firstColumn="0" w:lastRow="0" w:firstRow="0"/>
      </w:tblPr>
      <w:tblGrid>
        <w:gridCol w:w="8879"/>
      </w:tblGrid>
      <w:tr>
        <w:trPr/>
        <w:tc>
          <w:tcPr>
            <w:tcW w:w="887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rFonts w:ascii="Verdana" w:hAnsi="Verdana" w:eastAsia="Verdana" w:cs="Verdana"/>
                <w:sz w:val="18"/>
                <w:szCs w:val="18"/>
                <w:highlight w:val="white"/>
              </w:rPr>
            </w:pPr>
            <w:r>
              <w:rPr>
                <w:rFonts w:eastAsia="Verdana" w:cs="Verdana" w:ascii="Verdana" w:hAnsi="Verdana"/>
                <w:color w:val="FF0000"/>
                <w:sz w:val="18"/>
                <w:szCs w:val="18"/>
              </w:rPr>
              <w:t xml:space="preserve">Disclaimer: </w:t>
            </w:r>
            <w:r>
              <w:rPr>
                <w:rFonts w:eastAsia="Verdana" w:cs="Verdana" w:ascii="Verdana" w:hAnsi="Verdana"/>
                <w:sz w:val="18"/>
                <w:szCs w:val="18"/>
              </w:rPr>
              <w:t xml:space="preserve">It is a strict condition of reading and/or using this letter in any way you irrevocably agree that you are bound by the terms and conditions of this disclaimer. If you do not agree with the terms and conditions of this disclaimer, you are prohibited from reading and/or using this letter. Notwithstanding anything in this letter, the information set out in this letter </w:t>
            </w:r>
            <w:r>
              <w:rPr>
                <w:rFonts w:eastAsia="Verdana" w:cs="Verdana" w:ascii="Verdana" w:hAnsi="Verdana"/>
                <w:sz w:val="18"/>
                <w:szCs w:val="18"/>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160"/>
              <w:rPr>
                <w:rFonts w:ascii="Verdana" w:hAnsi="Verdana" w:eastAsia="Verdana" w:cs="Verdana"/>
                <w:color w:val="FF0000"/>
                <w:sz w:val="18"/>
                <w:szCs w:val="18"/>
              </w:rPr>
            </w:pPr>
            <w:r>
              <w:rPr>
                <w:rFonts w:eastAsia="Verdana" w:cs="Verdana" w:ascii="Verdana" w:hAnsi="Verdana"/>
                <w:color w:val="FF0000"/>
                <w:sz w:val="18"/>
                <w:szCs w:val="18"/>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w:t>
            </w:r>
          </w:p>
        </w:tc>
      </w:tr>
    </w:tbl>
    <w:p>
      <w:pPr>
        <w:pStyle w:val="Normal"/>
        <w:tabs>
          <w:tab w:val="clear" w:pos="720"/>
          <w:tab w:val="center" w:pos="4513" w:leader="none"/>
          <w:tab w:val="right" w:pos="9026" w:leader="none"/>
        </w:tabs>
        <w:spacing w:lineRule="auto" w:line="240" w:before="0" w:after="0"/>
        <w:ind w:right="-421" w:hanging="0"/>
        <w:jc w:val="right"/>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Normal"/>
        <w:rPr>
          <w:rFonts w:ascii="Verdana" w:hAnsi="Verdana" w:eastAsia="Verdana" w:cs="Verdana"/>
          <w:b/>
          <w:b/>
          <w:i/>
          <w:i/>
          <w:color w:val="4472C4"/>
          <w:sz w:val="20"/>
          <w:szCs w:val="20"/>
        </w:rPr>
      </w:pPr>
      <w:r>
        <w:rPr>
          <w:rFonts w:eastAsia="Verdana" w:cs="Verdana" w:ascii="Verdana" w:hAnsi="Verdana"/>
          <w:b/>
          <w:i/>
          <w:color w:val="4472C4"/>
          <w:sz w:val="20"/>
          <w:szCs w:val="20"/>
        </w:rPr>
      </w:r>
      <w:r>
        <w:br w:type="page"/>
      </w:r>
    </w:p>
    <w:p>
      <w:pPr>
        <w:pStyle w:val="Normal"/>
        <w:tabs>
          <w:tab w:val="clear" w:pos="720"/>
          <w:tab w:val="center" w:pos="4513" w:leader="none"/>
          <w:tab w:val="right" w:pos="9026"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ii</w:t>
      </w:r>
    </w:p>
    <w:p>
      <w:pPr>
        <w:pStyle w:val="Normal"/>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3"/>
                    <a:stretch>
                      <a:fillRect/>
                    </a:stretch>
                  </pic:blipFill>
                  <pic:spPr bwMode="auto">
                    <a:xfrm>
                      <a:off x="0" y="0"/>
                      <a:ext cx="3642995" cy="681990"/>
                    </a:xfrm>
                    <a:prstGeom prst="rect">
                      <a:avLst/>
                    </a:prstGeom>
                  </pic:spPr>
                </pic:pic>
              </a:graphicData>
            </a:graphic>
          </wp:inline>
        </w:drawing>
      </w:r>
    </w:p>
    <w:p>
      <w:pPr>
        <w:pStyle w:val="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HOW TO USE THIS POLICY?</w:t>
      </w:r>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Read the policy carefully so that you understand what you are proposing – this policy is yours.</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points you need to </w:t>
      </w:r>
      <w:r>
        <w:rPr>
          <w:rFonts w:eastAsia="Verdana" w:cs="Verdana" w:ascii="Verdana" w:hAnsi="Verdana"/>
          <w:color w:val="4472C4"/>
          <w:sz w:val="20"/>
          <w:szCs w:val="20"/>
          <w:highlight w:val="yellow"/>
        </w:rPr>
        <w:t>complete or closely consider for your situation are highlighted yellow</w:t>
      </w:r>
      <w:r>
        <w:rPr>
          <w:rFonts w:eastAsia="Verdana" w:cs="Verdana" w:ascii="Verdana" w:hAnsi="Verdana"/>
          <w:color w:val="4472C4"/>
          <w:sz w:val="20"/>
          <w:szCs w:val="20"/>
        </w:rPr>
        <w:t>.  Do not hesitate to get it checked by a friend, colleague or family member.</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This policy is only to be used in the situation where the activities being carried out in your space is a “gathering” as defined in the Covid-19 Public Health Response (Framework) Order 2021 or a “professional or semi-professional sport”. This may include dance studios, yoga studios, social sports or any professional or semi-professional sports.</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Delete the front 2 pages of the policy.</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latest vaccination order/s are available at </w:t>
      </w:r>
      <w:hyperlink r:id="rId4">
        <w:r>
          <w:rPr>
            <w:rFonts w:eastAsia="Verdana" w:cs="Verdana" w:ascii="Verdana" w:hAnsi="Verdana"/>
            <w:color w:val="0000FF"/>
            <w:sz w:val="20"/>
            <w:szCs w:val="20"/>
            <w:u w:val="single"/>
          </w:rPr>
          <w:t>https://covid19.govt.nz/alert-levels-and-updates/legislation-and-key-documents</w:t>
        </w:r>
      </w:hyperlink>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sectPr>
          <w:headerReference w:type="default" r:id="rId5"/>
          <w:footerReference w:type="default" r:id="rId6"/>
          <w:type w:val="nextPage"/>
          <w:pgSz w:w="12240" w:h="15840"/>
          <w:pgMar w:left="1440" w:right="1440" w:header="708" w:top="1440" w:footer="708" w:bottom="1440" w:gutter="0"/>
          <w:pgNumType w:start="1" w:fmt="decimal"/>
          <w:formProt w:val="false"/>
          <w:textDirection w:val="lrTb"/>
          <w:docGrid w:type="default" w:linePitch="100" w:charSpace="4096"/>
        </w:sect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If you are asked any questions which are not self-evident, then you will need to consider their questions and may need to obtain advice specific to your situation.</w:t>
      </w:r>
    </w:p>
    <w:p>
      <w:pPr>
        <w:pStyle w:val="Normal"/>
        <w:rPr>
          <w:rFonts w:ascii="Arial" w:hAnsi="Arial" w:eastAsia="Arial" w:cs="Arial"/>
          <w:b/>
          <w:b/>
          <w:sz w:val="28"/>
          <w:szCs w:val="28"/>
        </w:rPr>
      </w:pPr>
      <w:r>
        <w:rPr>
          <w:rFonts w:eastAsia="Arial" w:cs="Arial" w:ascii="Arial" w:hAnsi="Arial"/>
          <w:b/>
          <w:sz w:val="28"/>
          <w:szCs w:val="28"/>
        </w:rPr>
        <w:t>Policy for [</w:t>
      </w:r>
      <w:r>
        <w:rPr>
          <w:rFonts w:eastAsia="Arial" w:cs="Arial" w:ascii="Arial" w:hAnsi="Arial"/>
          <w:b/>
          <w:sz w:val="28"/>
          <w:szCs w:val="28"/>
          <w:highlight w:val="yellow"/>
        </w:rPr>
        <w:t xml:space="preserve"> Business name/logo</w:t>
      </w:r>
      <w:r>
        <w:rPr>
          <w:rFonts w:eastAsia="Arial" w:cs="Arial" w:ascii="Arial" w:hAnsi="Arial"/>
          <w:b/>
          <w:sz w:val="28"/>
          <w:szCs w:val="28"/>
        </w:rPr>
        <w:t>]</w:t>
      </w:r>
    </w:p>
    <w:p>
      <w:pPr>
        <w:pStyle w:val="Normal"/>
        <w:spacing w:lineRule="auto" w:line="276" w:before="0" w:after="0"/>
        <w:rPr>
          <w:rFonts w:ascii="Arial" w:hAnsi="Arial" w:eastAsia="Arial" w:cs="Arial"/>
          <w:b/>
          <w:b/>
        </w:rPr>
      </w:pPr>
      <w:r>
        <w:rPr>
          <w:rFonts w:eastAsia="Arial" w:cs="Arial" w:ascii="Arial" w:hAnsi="Arial"/>
          <w:b/>
        </w:rPr>
      </w:r>
    </w:p>
    <w:p>
      <w:pPr>
        <w:pStyle w:val="Normal"/>
        <w:spacing w:lineRule="auto" w:line="276" w:before="0" w:after="0"/>
        <w:rPr>
          <w:rFonts w:ascii="Arial" w:hAnsi="Arial" w:eastAsia="Arial" w:cs="Arial"/>
          <w:b/>
          <w:b/>
        </w:rPr>
      </w:pPr>
      <w:r>
        <w:rPr>
          <w:rFonts w:eastAsia="Arial" w:cs="Arial" w:ascii="Arial" w:hAnsi="Arial"/>
          <w:b/>
        </w:rPr>
        <w:t>Introduction</w:t>
      </w:r>
    </w:p>
    <w:p>
      <w:pPr>
        <w:pStyle w:val="Normal"/>
        <w:spacing w:lineRule="auto" w:line="276" w:before="0" w:after="0"/>
        <w:rPr>
          <w:rFonts w:ascii="Arial" w:hAnsi="Arial" w:eastAsia="Arial" w:cs="Arial"/>
          <w:b/>
          <w:b/>
        </w:rPr>
      </w:pPr>
      <w:r>
        <w:rPr>
          <w:rFonts w:eastAsia="Arial" w:cs="Arial" w:ascii="Arial" w:hAnsi="Arial"/>
          <w:b/>
        </w:rPr>
      </w:r>
    </w:p>
    <w:p>
      <w:pPr>
        <w:pStyle w:val="Normal"/>
        <w:spacing w:lineRule="auto" w:line="276" w:before="0" w:after="0"/>
        <w:rPr>
          <w:rFonts w:ascii="Arial" w:hAnsi="Arial" w:eastAsia="Arial" w:cs="Arial"/>
        </w:rPr>
      </w:pPr>
      <w:r>
        <w:rPr>
          <w:rFonts w:eastAsia="Arial" w:cs="Arial" w:ascii="Arial" w:hAnsi="Arial"/>
        </w:rPr>
        <w:t>Following the introduction of the new Covid-19 Public Health Response (Protection Framework) Order 2021 (</w:t>
      </w:r>
      <w:r>
        <w:rPr>
          <w:rFonts w:eastAsia="Arial" w:cs="Arial" w:ascii="Arial" w:hAnsi="Arial"/>
          <w:b/>
        </w:rPr>
        <w:t>Traffic Light</w:t>
      </w:r>
      <w:r>
        <w:rPr>
          <w:rFonts w:eastAsia="Arial" w:cs="Arial" w:ascii="Arial" w:hAnsi="Arial"/>
        </w:rPr>
        <w:t xml:space="preserve"> </w:t>
      </w:r>
      <w:r>
        <w:rPr>
          <w:rFonts w:eastAsia="Arial" w:cs="Arial" w:ascii="Arial" w:hAnsi="Arial"/>
          <w:b/>
        </w:rPr>
        <w:t>Framework</w:t>
      </w:r>
      <w:r>
        <w:rPr>
          <w:rFonts w:eastAsia="Arial" w:cs="Arial" w:ascii="Arial" w:hAnsi="Arial"/>
        </w:rPr>
        <w:t>), we introduce this policy for operating [</w:t>
      </w:r>
      <w:r>
        <w:rPr>
          <w:rFonts w:eastAsia="Arial" w:cs="Arial" w:ascii="Arial" w:hAnsi="Arial"/>
          <w:highlight w:val="yellow"/>
        </w:rPr>
        <w:t>Business name]</w:t>
      </w:r>
      <w:r>
        <w:rPr>
          <w:rFonts w:eastAsia="Arial" w:cs="Arial" w:ascii="Arial" w:hAnsi="Arial"/>
        </w:rPr>
        <w:t xml:space="preserve">.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The activities carried out by [</w:t>
      </w:r>
      <w:r>
        <w:rPr>
          <w:rFonts w:eastAsia="Arial" w:cs="Arial" w:ascii="Arial" w:hAnsi="Arial"/>
          <w:highlight w:val="yellow"/>
        </w:rPr>
        <w:t>Business name]</w:t>
      </w:r>
      <w:r>
        <w:rPr>
          <w:rFonts w:eastAsia="Arial" w:cs="Arial" w:ascii="Arial" w:hAnsi="Arial"/>
        </w:rPr>
        <w:t xml:space="preserve"> fall into the category of “permitted gatherings” as set out at clause 47 and 47A of in the Traffic Light Framework.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The activities listed above appear to fall into the category of “gathering”</w:t>
      </w:r>
      <w:r>
        <w:rPr>
          <w:rStyle w:val="FootnoteAnchor"/>
          <w:rFonts w:eastAsia="Arial" w:cs="Arial" w:ascii="Arial" w:hAnsi="Arial"/>
        </w:rPr>
        <w:footnoteReference w:id="2"/>
      </w:r>
      <w:r>
        <w:rPr>
          <w:rFonts w:eastAsia="Arial" w:cs="Arial" w:ascii="Arial" w:hAnsi="Arial"/>
        </w:rPr>
        <w:t xml:space="preserve"> as defined in clause 13 of the Traffic Light Framework</w:t>
      </w:r>
      <w:r>
        <w:rPr>
          <w:rStyle w:val="FootnoteAnchor"/>
          <w:rFonts w:eastAsia="Arial" w:cs="Arial" w:ascii="Arial" w:hAnsi="Arial"/>
          <w:vertAlign w:val="superscript"/>
        </w:rPr>
        <w:footnoteReference w:id="3"/>
      </w:r>
      <w:r>
        <w:rPr>
          <w:rFonts w:eastAsia="Arial" w:cs="Arial" w:ascii="Arial" w:hAnsi="Arial"/>
        </w:rPr>
        <w:t xml:space="preserve"> as they are:</w:t>
      </w:r>
    </w:p>
    <w:p>
      <w:pPr>
        <w:pStyle w:val="Normal"/>
        <w:spacing w:lineRule="auto" w:line="276" w:before="0" w:after="0"/>
        <w:rPr>
          <w:rFonts w:ascii="Arial" w:hAnsi="Arial" w:eastAsia="Arial" w:cs="Arial"/>
        </w:rPr>
      </w:pPr>
      <w:r>
        <w:rPr>
          <w:rFonts w:eastAsia="Arial" w:cs="Arial" w:ascii="Arial" w:hAnsi="Arial"/>
        </w:rPr>
      </w:r>
    </w:p>
    <w:p>
      <w:pPr>
        <w:pStyle w:val="Normal"/>
        <w:numPr>
          <w:ilvl w:val="0"/>
          <w:numId w:val="3"/>
        </w:numPr>
        <w:spacing w:lineRule="auto" w:line="276" w:before="0" w:after="0"/>
        <w:rPr>
          <w:rFonts w:ascii="Arial" w:hAnsi="Arial" w:eastAsia="Arial" w:cs="Arial"/>
          <w:highlight w:val="yellow"/>
        </w:rPr>
      </w:pPr>
      <w:r>
        <w:rPr>
          <w:rFonts w:eastAsia="Arial" w:cs="Arial" w:ascii="Arial" w:hAnsi="Arial"/>
          <w:highlight w:val="yellow"/>
        </w:rPr>
        <w:t>[select the options which apply to you]</w:t>
      </w:r>
    </w:p>
    <w:p>
      <w:pPr>
        <w:pStyle w:val="Normal"/>
        <w:numPr>
          <w:ilvl w:val="0"/>
          <w:numId w:val="3"/>
        </w:numPr>
        <w:spacing w:lineRule="auto" w:line="276" w:before="0" w:after="0"/>
        <w:rPr>
          <w:rFonts w:ascii="Arial" w:hAnsi="Arial" w:eastAsia="Arial" w:cs="Arial"/>
          <w:highlight w:val="yellow"/>
        </w:rPr>
      </w:pPr>
      <w:r>
        <w:rPr>
          <w:rFonts w:eastAsia="Arial" w:cs="Arial" w:ascii="Arial" w:hAnsi="Arial"/>
          <w:highlight w:val="yellow"/>
        </w:rPr>
        <w:t>Some examples are given on the Covid-19 website, such as social sports, faith based gatherings, weddings and civil union processes, etc.</w:t>
      </w:r>
      <w:r>
        <w:rPr>
          <w:rStyle w:val="FootnoteAnchor"/>
          <w:rFonts w:eastAsia="Arial" w:cs="Arial" w:ascii="Arial" w:hAnsi="Arial"/>
          <w:highlight w:val="yellow"/>
          <w:vertAlign w:val="superscript"/>
        </w:rPr>
        <w:footnoteReference w:id="4"/>
      </w:r>
    </w:p>
    <w:p>
      <w:pPr>
        <w:pStyle w:val="Normal"/>
        <w:numPr>
          <w:ilvl w:val="0"/>
          <w:numId w:val="3"/>
        </w:numPr>
        <w:spacing w:lineRule="auto" w:line="276" w:before="0" w:after="0"/>
        <w:rPr>
          <w:rFonts w:ascii="Arial" w:hAnsi="Arial" w:eastAsia="Arial" w:cs="Arial"/>
          <w:highlight w:val="yellow"/>
        </w:rPr>
      </w:pPr>
      <w:r>
        <w:rPr>
          <w:rFonts w:eastAsia="Arial" w:cs="Arial" w:ascii="Arial" w:hAnsi="Arial"/>
          <w:highlight w:val="yellow"/>
        </w:rPr>
        <w:t xml:space="preserve">Other examples are given in clause 13 of the order, such as funerals, community club events, not-for-profit activities, etc.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Events are a ‘gathering’ for the purposes of the Covid-19 Public Health Response</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(Protection Framework) Order 2021 (</w:t>
      </w:r>
      <w:r>
        <w:rPr>
          <w:rFonts w:eastAsia="Times New Roman" w:cs="Arial" w:ascii="Arial" w:hAnsi="Arial"/>
          <w:b/>
          <w:bCs/>
          <w:color w:val="000000"/>
          <w:lang w:eastAsia="en-NZ"/>
        </w:rPr>
        <w:t>Framework</w:t>
      </w:r>
      <w:r>
        <w:rPr>
          <w:rFonts w:eastAsia="Times New Roman" w:cs="Arial" w:ascii="Arial" w:hAnsi="Arial"/>
          <w:color w:val="000000"/>
          <w:lang w:eastAsia="en-NZ"/>
        </w:rPr>
        <w:t>).</w:t>
      </w:r>
      <w:r>
        <w:rPr>
          <w:rStyle w:val="FootnoteAnchor"/>
          <w:rFonts w:eastAsia="Times New Roman" w:cs="Arial" w:ascii="Arial" w:hAnsi="Arial"/>
          <w:color w:val="000000"/>
          <w:lang w:eastAsia="en-NZ"/>
        </w:rPr>
        <w:footnoteReference w:id="5"/>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A gathering is people mingling in a group (whether indoors or outdoors) and excludes</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anyone who is two meters away from the group. Examples applicable to studio include:</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br/>
      </w:r>
    </w:p>
    <w:p>
      <w:pPr>
        <w:pStyle w:val="Normal"/>
        <w:numPr>
          <w:ilvl w:val="0"/>
          <w:numId w:val="4"/>
        </w:numPr>
        <w:spacing w:lineRule="auto" w:line="240" w:before="0" w:after="0"/>
        <w:textAlignment w:val="baseline"/>
        <w:rPr>
          <w:rFonts w:ascii="Arial" w:hAnsi="Arial" w:eastAsia="Times New Roman" w:cs="Arial"/>
          <w:color w:val="000000"/>
          <w:lang w:eastAsia="en-NZ"/>
        </w:rPr>
      </w:pPr>
      <w:r>
        <w:rPr>
          <w:rFonts w:eastAsia="Times New Roman" w:cs="Arial" w:ascii="Arial" w:hAnsi="Arial"/>
          <w:color w:val="000000"/>
          <w:lang w:eastAsia="en-NZ"/>
        </w:rPr>
        <w:t>gatherings to undertake voluntary or not-for-profit sporting, recreational, social, or</w:t>
      </w:r>
    </w:p>
    <w:p>
      <w:pPr>
        <w:pStyle w:val="Normal"/>
        <w:spacing w:lineRule="auto" w:line="240" w:before="0" w:after="0"/>
        <w:ind w:left="720" w:hanging="0"/>
        <w:rPr>
          <w:rFonts w:ascii="Times New Roman" w:hAnsi="Times New Roman" w:eastAsia="Times New Roman" w:cs="Times New Roman"/>
          <w:sz w:val="24"/>
          <w:szCs w:val="24"/>
          <w:lang w:eastAsia="en-NZ"/>
        </w:rPr>
      </w:pPr>
      <w:r>
        <w:rPr>
          <w:rFonts w:eastAsia="Times New Roman" w:cs="Arial" w:ascii="Arial" w:hAnsi="Arial"/>
          <w:color w:val="000000"/>
          <w:lang w:eastAsia="en-NZ"/>
        </w:rPr>
        <w:t>cultural activities;</w:t>
      </w:r>
      <w:r>
        <w:rPr>
          <w:rStyle w:val="FootnoteAnchor"/>
          <w:rFonts w:eastAsia="Times New Roman" w:cs="Arial" w:ascii="Arial" w:hAnsi="Arial"/>
          <w:color w:val="000000"/>
          <w:lang w:eastAsia="en-NZ"/>
        </w:rPr>
        <w:footnoteReference w:id="6"/>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br/>
      </w:r>
    </w:p>
    <w:p>
      <w:pPr>
        <w:pStyle w:val="ListParagraph"/>
        <w:numPr>
          <w:ilvl w:val="0"/>
          <w:numId w:val="4"/>
        </w:numPr>
        <w:spacing w:lineRule="auto" w:line="240" w:before="0" w:after="0"/>
        <w:contextualSpacing/>
        <w:textAlignment w:val="baseline"/>
        <w:rPr>
          <w:rFonts w:ascii="Arial" w:hAnsi="Arial" w:eastAsia="Times New Roman" w:cs="Arial"/>
          <w:color w:val="000000"/>
          <w:lang w:eastAsia="en-NZ"/>
        </w:rPr>
      </w:pPr>
      <w:r>
        <w:rPr>
          <w:rFonts w:eastAsia="Times New Roman" w:cs="Arial" w:ascii="Arial" w:hAnsi="Arial"/>
          <w:color w:val="000000"/>
          <w:lang w:eastAsia="en-NZ"/>
        </w:rPr>
        <w:t>a gathering to undertake community club activities;</w:t>
      </w:r>
      <w:r>
        <w:rPr>
          <w:rStyle w:val="FootnoteAnchor"/>
          <w:rFonts w:eastAsia="Times New Roman" w:cs="Arial" w:ascii="Arial" w:hAnsi="Arial"/>
          <w:color w:val="000000"/>
          <w:lang w:eastAsia="en-NZ"/>
        </w:rPr>
        <w:footnoteReference w:id="7"/>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br/>
      </w:r>
    </w:p>
    <w:p>
      <w:pPr>
        <w:pStyle w:val="ListParagraph"/>
        <w:numPr>
          <w:ilvl w:val="0"/>
          <w:numId w:val="4"/>
        </w:numPr>
        <w:spacing w:lineRule="auto" w:line="240" w:before="0" w:after="0"/>
        <w:contextualSpacing/>
        <w:textAlignment w:val="baseline"/>
        <w:rPr>
          <w:rFonts w:ascii="Arial" w:hAnsi="Arial" w:eastAsia="Times New Roman" w:cs="Arial"/>
          <w:color w:val="000000"/>
          <w:lang w:eastAsia="en-NZ"/>
        </w:rPr>
      </w:pPr>
      <w:r>
        <w:rPr>
          <w:rFonts w:eastAsia="Times New Roman" w:cs="Arial" w:ascii="Arial" w:hAnsi="Arial"/>
          <w:color w:val="000000"/>
          <w:lang w:eastAsia="en-NZ"/>
        </w:rPr>
        <w:t>in some instances, they are held in an indoor area which is a defined space which has been obtained for the exclusive use of studio gathering,</w:t>
      </w:r>
      <w:r>
        <w:rPr>
          <w:rStyle w:val="FootnoteAnchor"/>
          <w:rFonts w:eastAsia="Times New Roman" w:cs="Arial" w:ascii="Arial" w:hAnsi="Arial"/>
          <w:color w:val="000000"/>
          <w:lang w:eastAsia="en-NZ"/>
        </w:rPr>
        <w:footnoteReference w:id="8"/>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ab/>
        <w:t>(</w:t>
      </w:r>
      <w:r>
        <w:rPr>
          <w:rFonts w:eastAsia="Times New Roman" w:cs="Arial" w:ascii="Arial" w:hAnsi="Arial"/>
          <w:b/>
          <w:bCs/>
          <w:color w:val="000000"/>
          <w:lang w:eastAsia="en-NZ"/>
        </w:rPr>
        <w:t>Gathering</w:t>
      </w:r>
      <w:r>
        <w:rPr>
          <w:rFonts w:eastAsia="Times New Roman" w:cs="Arial" w:ascii="Arial" w:hAnsi="Arial"/>
          <w:color w:val="000000"/>
          <w:lang w:eastAsia="en-NZ"/>
        </w:rPr>
        <w:t>).</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Spectators are likely to form their own Gathering if they are over two meters from another</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Gathering (e.g., the Gathering carrying out the activity).</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Studio activities are a “permitted gatherings” as set out at clause 42 of the Framework</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Arial" w:ascii="Arial" w:hAnsi="Arial"/>
          <w:color w:val="000000"/>
          <w:lang w:eastAsia="en-NZ"/>
        </w:rPr>
        <w:t>as they are either an outdoor Gathering (with no capacity limits</w:t>
      </w:r>
      <w:r>
        <w:rPr>
          <w:rStyle w:val="FootnoteAnchor"/>
          <w:rFonts w:eastAsia="Times New Roman" w:cs="Arial" w:ascii="Arial" w:hAnsi="Arial"/>
          <w:color w:val="000000"/>
          <w:lang w:eastAsia="en-NZ"/>
        </w:rPr>
        <w:footnoteReference w:id="9"/>
      </w:r>
      <w:r>
        <w:rPr>
          <w:rFonts w:eastAsia="Times New Roman" w:cs="Arial" w:ascii="Arial" w:hAnsi="Arial"/>
          <w:color w:val="000000"/>
          <w:lang w:eastAsia="en-NZ"/>
        </w:rPr>
        <w:t>) or for inside there are no fixed capacity. Gathering permitted pursuant to clause 47 of the Framework as the Gathering is the lesser of:  </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br/>
      </w:r>
    </w:p>
    <w:p>
      <w:pPr>
        <w:pStyle w:val="Normal"/>
        <w:numPr>
          <w:ilvl w:val="0"/>
          <w:numId w:val="5"/>
        </w:numPr>
        <w:spacing w:lineRule="auto" w:line="240" w:before="0" w:after="0"/>
        <w:textAlignment w:val="baseline"/>
        <w:rPr>
          <w:rFonts w:ascii="Arial" w:hAnsi="Arial" w:eastAsia="Times New Roman" w:cs="Arial"/>
          <w:color w:val="000000"/>
          <w:lang w:eastAsia="en-NZ"/>
        </w:rPr>
      </w:pPr>
      <w:r>
        <w:rPr>
          <w:rFonts w:eastAsia="Times New Roman" w:cs="Arial" w:ascii="Arial" w:hAnsi="Arial"/>
          <w:color w:val="000000"/>
          <w:lang w:eastAsia="en-NZ"/>
        </w:rPr>
        <w:t xml:space="preserve">the fixed number of people (excluding workers) – listed in the </w:t>
      </w:r>
      <w:r>
        <w:rPr>
          <w:rFonts w:eastAsia="Times New Roman" w:cs="Arial" w:ascii="Arial" w:hAnsi="Arial"/>
          <w:color w:val="00A933"/>
          <w:lang w:eastAsia="en-NZ"/>
        </w:rPr>
        <w:t>Green</w:t>
      </w:r>
      <w:r>
        <w:rPr>
          <w:rFonts w:eastAsia="Times New Roman" w:cs="Arial" w:ascii="Arial" w:hAnsi="Arial"/>
          <w:color w:val="000000"/>
          <w:lang w:eastAsia="en-NZ"/>
        </w:rPr>
        <w:t xml:space="preserve">, </w:t>
      </w:r>
      <w:r>
        <w:rPr>
          <w:rFonts w:eastAsia="Times New Roman" w:cs="Arial" w:ascii="Arial" w:hAnsi="Arial"/>
          <w:color w:val="FF8000"/>
          <w:lang w:eastAsia="en-NZ"/>
        </w:rPr>
        <w:t>Orange</w:t>
      </w:r>
      <w:r>
        <w:rPr>
          <w:rFonts w:eastAsia="Times New Roman" w:cs="Arial" w:ascii="Arial" w:hAnsi="Arial"/>
          <w:color w:val="000000"/>
          <w:lang w:eastAsia="en-NZ"/>
        </w:rPr>
        <w:t xml:space="preserve"> or </w:t>
      </w:r>
      <w:r>
        <w:rPr>
          <w:rFonts w:eastAsia="Times New Roman" w:cs="Arial" w:ascii="Arial" w:hAnsi="Arial"/>
          <w:color w:val="F10D0C"/>
          <w:lang w:eastAsia="en-NZ"/>
        </w:rPr>
        <w:t>Red</w:t>
      </w:r>
      <w:r>
        <w:rPr>
          <w:rFonts w:eastAsia="Times New Roman" w:cs="Arial" w:ascii="Arial" w:hAnsi="Arial"/>
          <w:color w:val="000000"/>
          <w:lang w:eastAsia="en-NZ"/>
        </w:rPr>
        <w:t xml:space="preserve"> in the schedule to this Policy; or</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br/>
      </w:r>
    </w:p>
    <w:p>
      <w:pPr>
        <w:pStyle w:val="ListParagraph"/>
        <w:numPr>
          <w:ilvl w:val="0"/>
          <w:numId w:val="5"/>
        </w:numPr>
        <w:spacing w:lineRule="auto" w:line="240" w:before="0" w:after="0"/>
        <w:contextualSpacing/>
        <w:textAlignment w:val="baseline"/>
        <w:rPr>
          <w:rFonts w:ascii="Arial" w:hAnsi="Arial" w:eastAsia="Times New Roman" w:cs="Arial"/>
          <w:color w:val="000000"/>
          <w:lang w:eastAsia="en-NZ"/>
        </w:rPr>
      </w:pPr>
      <w:r>
        <w:rPr>
          <w:rFonts w:eastAsia="Times New Roman" w:cs="Arial" w:ascii="Arial" w:hAnsi="Arial"/>
          <w:color w:val="000000"/>
          <w:lang w:eastAsia="en-NZ"/>
        </w:rPr>
        <w:t>the maximum number of people who could occupy the space if each person were to comply with the specified physical distancing rule,</w:t>
      </w:r>
    </w:p>
    <w:p>
      <w:pPr>
        <w:pStyle w:val="Normal"/>
        <w:spacing w:lineRule="auto" w:line="240" w:before="0" w:after="0"/>
        <w:rPr>
          <w:rFonts w:ascii="Times New Roman" w:hAnsi="Times New Roman" w:eastAsia="Times New Roman" w:cs="Times New Roman"/>
          <w:sz w:val="24"/>
          <w:szCs w:val="24"/>
          <w:lang w:eastAsia="en-NZ"/>
        </w:rPr>
      </w:pPr>
      <w:r>
        <w:rPr>
          <w:rFonts w:eastAsia="Times New Roman" w:cs="Times New Roman" w:ascii="Times New Roman" w:hAnsi="Times New Roman"/>
          <w:sz w:val="24"/>
          <w:szCs w:val="24"/>
          <w:lang w:eastAsia="en-NZ"/>
        </w:rPr>
      </w:r>
    </w:p>
    <w:p>
      <w:pPr>
        <w:pStyle w:val="Normal"/>
        <w:spacing w:lineRule="auto" w:line="240" w:before="0" w:after="0"/>
        <w:ind w:firstLine="720"/>
        <w:rPr>
          <w:rFonts w:ascii="Times New Roman" w:hAnsi="Times New Roman" w:eastAsia="Times New Roman" w:cs="Times New Roman"/>
          <w:sz w:val="24"/>
          <w:szCs w:val="24"/>
          <w:lang w:eastAsia="en-NZ"/>
        </w:rPr>
      </w:pPr>
      <w:r>
        <w:rPr>
          <w:rFonts w:eastAsia="Times New Roman" w:cs="Arial" w:ascii="Arial" w:hAnsi="Arial"/>
          <w:color w:val="000000"/>
          <w:lang w:eastAsia="en-NZ"/>
        </w:rPr>
        <w:t xml:space="preserve">as set out at </w:t>
      </w:r>
      <w:r>
        <w:rPr>
          <w:rFonts w:eastAsia="Times New Roman" w:cs="Arial" w:ascii="Arial" w:hAnsi="Arial"/>
          <w:b/>
          <w:bCs/>
          <w:color w:val="000000"/>
          <w:lang w:eastAsia="en-NZ"/>
        </w:rPr>
        <w:t>Schedule 1</w:t>
      </w:r>
      <w:r>
        <w:rPr>
          <w:rFonts w:eastAsia="Times New Roman" w:cs="Arial" w:ascii="Arial" w:hAnsi="Arial"/>
          <w:color w:val="000000"/>
          <w:lang w:eastAsia="en-NZ"/>
        </w:rPr>
        <w:t xml:space="preserve"> to this Policy.</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 xml:space="preserve">We have prepared this policy after careful consideration of what is possible under the current framework. We would like everyone to be able to enjoy our activities to the extent possible and will try to work with you to determine which activities you can participate in, so feel free to reach out if you have any questions.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b/>
          <w:b/>
        </w:rPr>
      </w:pPr>
      <w:r>
        <w:rPr>
          <w:rFonts w:eastAsia="Arial" w:cs="Arial" w:ascii="Arial" w:hAnsi="Arial"/>
          <w:b/>
        </w:rPr>
        <w:t>Your responsibilities at all alert levels</w:t>
      </w:r>
    </w:p>
    <w:p>
      <w:pPr>
        <w:pStyle w:val="Normal"/>
        <w:spacing w:lineRule="auto" w:line="276" w:before="0" w:after="0"/>
        <w:rPr>
          <w:rFonts w:ascii="Arial" w:hAnsi="Arial" w:eastAsia="Arial" w:cs="Arial"/>
          <w:b/>
          <w:b/>
        </w:rPr>
      </w:pPr>
      <w:r>
        <w:rPr>
          <w:rFonts w:eastAsia="Arial" w:cs="Arial" w:ascii="Arial" w:hAnsi="Arial"/>
          <w:b/>
        </w:rPr>
      </w:r>
    </w:p>
    <w:p>
      <w:pPr>
        <w:pStyle w:val="Normal"/>
        <w:numPr>
          <w:ilvl w:val="0"/>
          <w:numId w:val="1"/>
        </w:numPr>
        <w:spacing w:lineRule="auto" w:line="276" w:before="0" w:after="0"/>
        <w:rPr>
          <w:rFonts w:ascii="Arial" w:hAnsi="Arial" w:eastAsia="Arial" w:cs="Arial"/>
        </w:rPr>
      </w:pPr>
      <w:r>
        <w:rPr>
          <w:rFonts w:eastAsia="Arial" w:cs="Arial" w:ascii="Arial" w:hAnsi="Arial"/>
        </w:rPr>
        <w:t xml:space="preserve">Make sure you wash your hands and use hand sanitiser when you can. </w:t>
      </w:r>
    </w:p>
    <w:p>
      <w:pPr>
        <w:pStyle w:val="Normal"/>
        <w:numPr>
          <w:ilvl w:val="0"/>
          <w:numId w:val="1"/>
        </w:numPr>
        <w:spacing w:lineRule="auto" w:line="276" w:before="0" w:after="0"/>
        <w:rPr>
          <w:rFonts w:ascii="Arial" w:hAnsi="Arial" w:eastAsia="Arial" w:cs="Arial"/>
        </w:rPr>
      </w:pPr>
      <w:r>
        <w:rPr>
          <w:rFonts w:eastAsia="Arial" w:cs="Arial" w:ascii="Arial" w:hAnsi="Arial"/>
        </w:rPr>
        <w:t>Stay at home if you have tested positive to Covid-19</w:t>
      </w:r>
    </w:p>
    <w:p>
      <w:pPr>
        <w:pStyle w:val="Normal"/>
        <w:numPr>
          <w:ilvl w:val="0"/>
          <w:numId w:val="1"/>
        </w:numPr>
        <w:spacing w:lineRule="auto" w:line="276" w:before="0" w:after="0"/>
        <w:rPr>
          <w:rFonts w:ascii="Arial" w:hAnsi="Arial" w:eastAsia="Arial" w:cs="Arial"/>
        </w:rPr>
      </w:pPr>
      <w:r>
        <w:rPr>
          <w:rFonts w:eastAsia="Arial" w:cs="Arial" w:ascii="Arial" w:hAnsi="Arial"/>
        </w:rPr>
        <w:t xml:space="preserve">Stay at home if you are sick. </w:t>
      </w:r>
    </w:p>
    <w:p>
      <w:pPr>
        <w:pStyle w:val="Normal"/>
        <w:numPr>
          <w:ilvl w:val="0"/>
          <w:numId w:val="1"/>
        </w:numPr>
        <w:spacing w:lineRule="auto" w:line="276" w:before="0" w:after="0"/>
        <w:rPr>
          <w:rFonts w:ascii="Arial" w:hAnsi="Arial" w:eastAsia="Arial" w:cs="Arial"/>
        </w:rPr>
      </w:pPr>
      <w:r>
        <w:rPr>
          <w:rFonts w:eastAsia="Arial" w:cs="Arial" w:ascii="Arial" w:hAnsi="Arial"/>
        </w:rPr>
        <w:t>If you are at higher risk of severe illness from Covid-19 (e.g., if you have underlying health conditions or are elderly), please take the following additional precautions:</w:t>
      </w:r>
    </w:p>
    <w:p>
      <w:pPr>
        <w:pStyle w:val="Normal"/>
        <w:numPr>
          <w:ilvl w:val="1"/>
          <w:numId w:val="1"/>
        </w:numPr>
        <w:spacing w:lineRule="auto" w:line="276" w:before="0" w:after="0"/>
        <w:rPr>
          <w:rFonts w:ascii="Arial" w:hAnsi="Arial" w:eastAsia="Arial" w:cs="Arial"/>
        </w:rPr>
      </w:pPr>
      <w:r>
        <w:rPr>
          <w:rFonts w:eastAsia="Arial" w:cs="Arial" w:ascii="Arial" w:hAnsi="Arial"/>
        </w:rPr>
        <w:t>[</w:t>
      </w:r>
      <w:r>
        <w:rPr>
          <w:rFonts w:eastAsia="Arial" w:cs="Arial" w:ascii="Arial" w:hAnsi="Arial"/>
          <w:highlight w:val="yellow"/>
        </w:rPr>
        <w:t>Any considerations which are specific to your business</w:t>
      </w:r>
      <w:r>
        <w:rPr>
          <w:rFonts w:eastAsia="Arial" w:cs="Arial" w:ascii="Arial" w:hAnsi="Arial"/>
        </w:rPr>
        <w:t>]</w:t>
      </w:r>
    </w:p>
    <w:p>
      <w:pPr>
        <w:pStyle w:val="Normal"/>
        <w:numPr>
          <w:ilvl w:val="1"/>
          <w:numId w:val="1"/>
        </w:numPr>
        <w:spacing w:lineRule="auto" w:line="276" w:before="0" w:after="0"/>
        <w:rPr>
          <w:rFonts w:ascii="Arial" w:hAnsi="Arial" w:eastAsia="Arial" w:cs="Arial"/>
        </w:rPr>
      </w:pPr>
      <w:r>
        <w:rPr>
          <w:rFonts w:eastAsia="Arial" w:cs="Arial" w:ascii="Arial" w:hAnsi="Arial"/>
        </w:rPr>
        <w:t>Keep fit and healthy with diet, exercise and dance!</w:t>
      </w:r>
    </w:p>
    <w:p>
      <w:pPr>
        <w:pStyle w:val="Normal"/>
        <w:numPr>
          <w:ilvl w:val="1"/>
          <w:numId w:val="1"/>
        </w:numPr>
        <w:spacing w:lineRule="auto" w:line="276" w:before="0" w:after="0"/>
        <w:rPr>
          <w:rFonts w:ascii="Arial" w:hAnsi="Arial" w:eastAsia="Arial" w:cs="Arial"/>
        </w:rPr>
      </w:pPr>
      <w:r>
        <w:rPr>
          <w:rFonts w:eastAsia="Arial" w:cs="Arial" w:ascii="Arial" w:hAnsi="Arial"/>
        </w:rPr>
        <w:t xml:space="preserve">Work with your GP on your health conditions. </w:t>
      </w:r>
    </w:p>
    <w:p>
      <w:pPr>
        <w:pStyle w:val="Normal"/>
        <w:numPr>
          <w:ilvl w:val="0"/>
          <w:numId w:val="1"/>
        </w:numPr>
        <w:spacing w:lineRule="auto" w:line="276"/>
        <w:rPr>
          <w:rFonts w:ascii="Arial" w:hAnsi="Arial" w:eastAsia="Arial" w:cs="Arial"/>
        </w:rPr>
      </w:pPr>
      <w:r>
        <w:rPr>
          <w:rFonts w:eastAsia="Arial" w:cs="Arial" w:ascii="Arial" w:hAnsi="Arial"/>
        </w:rPr>
        <w:t>Face masks are not required in any case where attendees are exempt and you do not need to wear a mask at a gathering when your gathering is the only one using the</w:t>
      </w:r>
    </w:p>
    <w:p>
      <w:pPr>
        <w:pStyle w:val="Normal"/>
        <w:numPr>
          <w:ilvl w:val="0"/>
          <w:numId w:val="1"/>
        </w:numPr>
        <w:spacing w:lineRule="auto" w:line="276" w:before="0" w:after="0"/>
        <w:rPr>
          <w:rFonts w:ascii="Arial" w:hAnsi="Arial" w:eastAsia="Arial" w:cs="Arial"/>
        </w:rPr>
      </w:pPr>
      <w:r>
        <w:rPr>
          <w:rFonts w:eastAsia="Arial" w:cs="Arial" w:ascii="Arial" w:hAnsi="Arial"/>
        </w:rPr>
        <w:t>However, face mask is a requirement for indoor settings.</w:t>
      </w:r>
    </w:p>
    <w:p>
      <w:pPr>
        <w:pStyle w:val="Normal"/>
        <w:spacing w:lineRule="auto" w:line="276" w:before="0" w:after="0"/>
        <w:rPr>
          <w:rFonts w:ascii="Arial" w:hAnsi="Arial" w:eastAsia="Arial" w:cs="Arial"/>
          <w:b/>
          <w:b/>
          <w:color w:val="1155CC"/>
          <w:sz w:val="21"/>
          <w:szCs w:val="21"/>
        </w:rPr>
      </w:pPr>
      <w:r>
        <w:rPr>
          <w:rFonts w:eastAsia="Arial" w:cs="Arial" w:ascii="Arial" w:hAnsi="Arial"/>
          <w:b/>
          <w:color w:val="1155CC"/>
          <w:sz w:val="21"/>
          <w:szCs w:val="21"/>
        </w:rPr>
      </w:r>
    </w:p>
    <w:p>
      <w:pPr>
        <w:pStyle w:val="Normal"/>
        <w:spacing w:lineRule="auto" w:line="276" w:before="0" w:after="0"/>
        <w:rPr>
          <w:rFonts w:ascii="Arial" w:hAnsi="Arial" w:eastAsia="Arial" w:cs="Arial"/>
          <w:b/>
          <w:b/>
        </w:rPr>
      </w:pPr>
      <w:r>
        <w:rPr>
          <w:rFonts w:eastAsia="Arial" w:cs="Arial" w:ascii="Arial" w:hAnsi="Arial"/>
          <w:b/>
        </w:rPr>
      </w:r>
    </w:p>
    <w:p>
      <w:pPr>
        <w:pStyle w:val="Normal"/>
        <w:spacing w:lineRule="auto" w:line="276" w:before="0" w:after="0"/>
        <w:ind w:left="1440" w:hanging="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b/>
          <w:b/>
        </w:rPr>
      </w:pPr>
      <w:r>
        <w:rPr>
          <w:rFonts w:eastAsia="Arial" w:cs="Arial" w:ascii="Arial" w:hAnsi="Arial"/>
          <w:b/>
        </w:rPr>
      </w:r>
      <w:r>
        <w:br w:type="page"/>
      </w:r>
    </w:p>
    <w:p>
      <w:pPr>
        <w:pStyle w:val="TextBody"/>
        <w:rPr>
          <w:rFonts w:ascii="Arial" w:hAnsi="Arial"/>
          <w:b/>
          <w:b/>
          <w:bCs/>
        </w:rPr>
      </w:pPr>
      <w:r>
        <w:rPr>
          <w:rFonts w:ascii="Arial" w:hAnsi="Arial"/>
          <w:b/>
          <w:bCs/>
        </w:rPr>
        <w:t>Schedule 1</w:t>
      </w:r>
    </w:p>
    <w:p>
      <w:pPr>
        <w:pStyle w:val="TextBody"/>
        <w:rPr/>
      </w:pPr>
      <w:r>
        <w:rPr/>
      </w:r>
    </w:p>
    <w:tbl>
      <w:tblPr>
        <w:tblStyle w:val="TableGrid"/>
        <w:tblW w:w="9350" w:type="dxa"/>
        <w:jc w:val="left"/>
        <w:tblInd w:w="0" w:type="dxa"/>
        <w:tblCellMar>
          <w:top w:w="0" w:type="dxa"/>
          <w:left w:w="108" w:type="dxa"/>
          <w:bottom w:w="0" w:type="dxa"/>
          <w:right w:w="108" w:type="dxa"/>
        </w:tblCellMar>
        <w:tblLook w:val="04a0" w:noVBand="1" w:noHBand="0" w:lastColumn="0" w:firstColumn="1" w:lastRow="0" w:firstRow="1"/>
      </w:tblPr>
      <w:tblGrid>
        <w:gridCol w:w="2337"/>
        <w:gridCol w:w="2337"/>
        <w:gridCol w:w="2338"/>
        <w:gridCol w:w="2337"/>
      </w:tblGrid>
      <w:tr>
        <w:trPr/>
        <w:tc>
          <w:tcPr>
            <w:tcW w:w="2337" w:type="dxa"/>
            <w:tcBorders/>
          </w:tcPr>
          <w:p>
            <w:pPr>
              <w:pStyle w:val="Normal"/>
              <w:spacing w:lineRule="auto" w:line="276" w:before="0" w:after="0"/>
              <w:rPr>
                <w:rFonts w:ascii="Arial" w:hAnsi="Arial" w:eastAsia="Arial" w:cs="Arial"/>
              </w:rPr>
            </w:pPr>
            <w:r>
              <w:rPr>
                <w:rFonts w:eastAsia="Arial" w:cs="Arial" w:ascii="Arial" w:hAnsi="Arial"/>
              </w:rPr>
            </w:r>
          </w:p>
        </w:tc>
        <w:tc>
          <w:tcPr>
            <w:tcW w:w="2337" w:type="dxa"/>
            <w:tcBorders/>
          </w:tcPr>
          <w:p>
            <w:pPr>
              <w:pStyle w:val="Normal"/>
              <w:spacing w:lineRule="auto" w:line="276" w:before="0" w:after="0"/>
              <w:rPr>
                <w:color w:val="F10D0C"/>
              </w:rPr>
            </w:pPr>
            <w:r>
              <w:rPr>
                <w:rFonts w:eastAsia="Arial" w:cs="Arial" w:ascii="Arial" w:hAnsi="Arial"/>
                <w:b/>
                <w:bCs/>
                <w:color w:val="F10D0C"/>
              </w:rPr>
              <w:t>RED</w:t>
            </w:r>
          </w:p>
        </w:tc>
        <w:tc>
          <w:tcPr>
            <w:tcW w:w="2338" w:type="dxa"/>
            <w:tcBorders/>
          </w:tcPr>
          <w:p>
            <w:pPr>
              <w:pStyle w:val="Normal"/>
              <w:spacing w:lineRule="auto" w:line="276" w:before="0" w:after="0"/>
              <w:rPr>
                <w:color w:val="FF8000"/>
              </w:rPr>
            </w:pPr>
            <w:r>
              <w:rPr>
                <w:rFonts w:eastAsia="Arial" w:cs="Arial" w:ascii="Arial" w:hAnsi="Arial"/>
                <w:b/>
                <w:bCs/>
                <w:color w:val="FF8000"/>
              </w:rPr>
              <w:t>ORANGE</w:t>
            </w:r>
          </w:p>
        </w:tc>
        <w:tc>
          <w:tcPr>
            <w:tcW w:w="2337" w:type="dxa"/>
            <w:tcBorders/>
          </w:tcPr>
          <w:p>
            <w:pPr>
              <w:pStyle w:val="Normal"/>
              <w:spacing w:lineRule="auto" w:line="276" w:before="0" w:after="0"/>
              <w:rPr>
                <w:color w:val="00A933"/>
              </w:rPr>
            </w:pPr>
            <w:r>
              <w:rPr>
                <w:rFonts w:eastAsia="Arial" w:cs="Arial" w:ascii="Arial" w:hAnsi="Arial"/>
                <w:b/>
                <w:bCs/>
                <w:color w:val="00A933"/>
              </w:rPr>
              <w:t>GREEN</w:t>
            </w:r>
          </w:p>
        </w:tc>
      </w:tr>
      <w:tr>
        <w:trPr/>
        <w:tc>
          <w:tcPr>
            <w:tcW w:w="2337" w:type="dxa"/>
            <w:tcBorders/>
          </w:tcPr>
          <w:p>
            <w:pPr>
              <w:pStyle w:val="Normal"/>
              <w:spacing w:lineRule="auto" w:line="276" w:before="0" w:after="0"/>
              <w:rPr>
                <w:rFonts w:ascii="Arial" w:hAnsi="Arial" w:eastAsia="Arial" w:cs="Arial"/>
              </w:rPr>
            </w:pPr>
            <w:r>
              <w:rPr>
                <w:rFonts w:eastAsia="Arial" w:cs="Arial" w:ascii="Arial" w:hAnsi="Arial"/>
              </w:rPr>
              <w:t>Outdoor Gathering</w:t>
            </w:r>
          </w:p>
        </w:tc>
        <w:tc>
          <w:tcPr>
            <w:tcW w:w="2337" w:type="dxa"/>
            <w:tcBorders/>
          </w:tcPr>
          <w:p>
            <w:pPr>
              <w:pStyle w:val="Normal"/>
              <w:spacing w:lineRule="auto" w:line="276" w:before="0" w:after="0"/>
              <w:rPr>
                <w:rFonts w:ascii="Arial" w:hAnsi="Arial" w:eastAsia="Arial" w:cs="Arial"/>
              </w:rPr>
            </w:pPr>
            <w:r>
              <w:rPr>
                <w:rFonts w:eastAsia="Arial" w:cs="Arial" w:ascii="Arial" w:hAnsi="Arial"/>
              </w:rPr>
              <w:t>No limitations or restrictions.</w:t>
            </w:r>
            <w:r>
              <w:rPr>
                <w:rStyle w:val="FootnoteAnchor"/>
                <w:rFonts w:eastAsia="Arial" w:cs="Arial" w:ascii="Arial" w:hAnsi="Arial"/>
              </w:rPr>
              <w:footnoteReference w:id="10"/>
            </w:r>
          </w:p>
        </w:tc>
        <w:tc>
          <w:tcPr>
            <w:tcW w:w="2338" w:type="dxa"/>
            <w:tcBorders/>
          </w:tcPr>
          <w:p>
            <w:pPr>
              <w:pStyle w:val="Normal"/>
              <w:spacing w:lineRule="auto" w:line="276" w:before="0" w:after="0"/>
              <w:rPr>
                <w:rFonts w:ascii="Arial" w:hAnsi="Arial" w:eastAsia="Arial" w:cs="Arial"/>
              </w:rPr>
            </w:pPr>
            <w:r>
              <w:rPr>
                <w:rFonts w:eastAsia="Arial" w:cs="Arial" w:ascii="Arial" w:hAnsi="Arial"/>
              </w:rPr>
              <w:t>No limitations or restrictions.</w:t>
            </w:r>
            <w:r>
              <w:rPr>
                <w:rStyle w:val="FootnoteAnchor"/>
                <w:rFonts w:eastAsia="Arial" w:cs="Arial" w:ascii="Arial" w:hAnsi="Arial"/>
              </w:rPr>
              <w:footnoteReference w:id="11"/>
            </w:r>
          </w:p>
        </w:tc>
        <w:tc>
          <w:tcPr>
            <w:tcW w:w="2337" w:type="dxa"/>
            <w:tcBorders/>
          </w:tcPr>
          <w:p>
            <w:pPr>
              <w:pStyle w:val="Normal"/>
              <w:spacing w:lineRule="auto" w:line="276" w:before="0" w:after="0"/>
              <w:rPr>
                <w:rFonts w:ascii="Arial" w:hAnsi="Arial" w:eastAsia="Arial" w:cs="Arial"/>
              </w:rPr>
            </w:pPr>
            <w:r>
              <w:rPr>
                <w:rFonts w:eastAsia="Arial" w:cs="Arial" w:ascii="Arial" w:hAnsi="Arial"/>
              </w:rPr>
              <w:t>No limitations or restrictions.</w:t>
            </w:r>
            <w:r>
              <w:rPr>
                <w:rStyle w:val="FootnoteAnchor"/>
                <w:rFonts w:eastAsia="Arial" w:cs="Arial" w:ascii="Arial" w:hAnsi="Arial"/>
              </w:rPr>
              <w:footnoteReference w:id="12"/>
            </w:r>
          </w:p>
        </w:tc>
      </w:tr>
      <w:tr>
        <w:trPr/>
        <w:tc>
          <w:tcPr>
            <w:tcW w:w="2337" w:type="dxa"/>
            <w:tcBorders/>
          </w:tcPr>
          <w:p>
            <w:pPr>
              <w:pStyle w:val="Normal"/>
              <w:spacing w:lineRule="auto" w:line="276" w:before="0" w:after="0"/>
              <w:rPr>
                <w:rFonts w:ascii="Arial" w:hAnsi="Arial" w:eastAsia="Arial" w:cs="Arial"/>
              </w:rPr>
            </w:pPr>
            <w:r>
              <w:rPr>
                <w:rFonts w:eastAsia="Arial" w:cs="Arial" w:ascii="Arial" w:hAnsi="Arial"/>
              </w:rPr>
              <w:t>Gatherings inside</w:t>
            </w:r>
          </w:p>
        </w:tc>
        <w:tc>
          <w:tcPr>
            <w:tcW w:w="2337" w:type="dxa"/>
            <w:tcBorders/>
          </w:tcPr>
          <w:p>
            <w:pPr>
              <w:pStyle w:val="Normal"/>
              <w:spacing w:lineRule="auto" w:line="276" w:before="0" w:after="0"/>
              <w:rPr>
                <w:rFonts w:ascii="Arial" w:hAnsi="Arial" w:eastAsia="Arial" w:cs="Arial"/>
              </w:rPr>
            </w:pPr>
            <w:r>
              <w:rPr>
                <w:rFonts w:eastAsia="Arial" w:cs="Arial" w:ascii="Arial" w:hAnsi="Arial"/>
              </w:rPr>
              <w:t>Up to 200 people if the area is greater than 400m</w:t>
            </w:r>
            <w:r>
              <w:rPr>
                <w:rFonts w:eastAsia="Arial" w:cs="Arial" w:ascii="Arial" w:hAnsi="Arial"/>
                <w:vertAlign w:val="superscript"/>
              </w:rPr>
              <w:t>2</w:t>
            </w:r>
            <w:r>
              <w:rPr>
                <w:rFonts w:eastAsia="Arial" w:cs="Arial" w:ascii="Arial" w:hAnsi="Arial"/>
              </w:rPr>
              <w:t>.</w:t>
            </w:r>
            <w:r>
              <w:rPr>
                <w:rStyle w:val="FootnoteAnchor"/>
                <w:rFonts w:eastAsia="Arial" w:cs="Arial" w:ascii="Arial" w:hAnsi="Arial"/>
              </w:rPr>
              <w:footnoteReference w:id="13"/>
            </w:r>
          </w:p>
        </w:tc>
        <w:tc>
          <w:tcPr>
            <w:tcW w:w="2338" w:type="dxa"/>
            <w:tcBorders/>
          </w:tcPr>
          <w:p>
            <w:pPr>
              <w:pStyle w:val="Normal"/>
              <w:spacing w:lineRule="auto" w:line="276" w:before="0" w:after="0"/>
              <w:rPr>
                <w:rFonts w:ascii="Arial" w:hAnsi="Arial" w:eastAsia="Arial" w:cs="Arial"/>
              </w:rPr>
            </w:pPr>
            <w:r>
              <w:rPr>
                <w:rFonts w:eastAsia="Arial" w:cs="Arial" w:ascii="Arial" w:hAnsi="Arial"/>
              </w:rPr>
              <w:t>No limitations or restrictions</w:t>
            </w:r>
            <w:r>
              <w:rPr>
                <w:rStyle w:val="FootnoteAnchor"/>
                <w:rFonts w:eastAsia="Arial" w:cs="Arial" w:ascii="Arial" w:hAnsi="Arial"/>
              </w:rPr>
              <w:footnoteReference w:id="14"/>
            </w:r>
          </w:p>
        </w:tc>
        <w:tc>
          <w:tcPr>
            <w:tcW w:w="2337" w:type="dxa"/>
            <w:tcBorders/>
          </w:tcPr>
          <w:p>
            <w:pPr>
              <w:pStyle w:val="Normal"/>
              <w:spacing w:lineRule="auto" w:line="276" w:before="0" w:after="0"/>
              <w:rPr>
                <w:rFonts w:ascii="Arial" w:hAnsi="Arial" w:eastAsia="Arial" w:cs="Arial"/>
              </w:rPr>
            </w:pPr>
            <w:r>
              <w:rPr>
                <w:rFonts w:eastAsia="Arial" w:cs="Arial" w:ascii="Arial" w:hAnsi="Arial"/>
              </w:rPr>
              <w:t>No limitations or restrictions.</w:t>
            </w:r>
            <w:r>
              <w:rPr>
                <w:rStyle w:val="FootnoteAnchor"/>
                <w:rFonts w:eastAsia="Arial" w:cs="Arial" w:ascii="Arial" w:hAnsi="Arial"/>
              </w:rPr>
              <w:footnoteReference w:id="15"/>
            </w:r>
          </w:p>
        </w:tc>
      </w:tr>
    </w:tbl>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
    </w:p>
    <w:sectPr>
      <w:headerReference w:type="default" r:id="rId7"/>
      <w:footerReference w:type="default" r:id="rId8"/>
      <w:footnotePr>
        <w:numFmt w:val="decimal"/>
      </w:footnotePr>
      <w:type w:val="nextPage"/>
      <w:pgSz w:w="12240" w:h="15840"/>
      <w:pgMar w:left="1440" w:right="1440" w:header="708"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Arial">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spacing w:lineRule="auto" w:line="240" w:before="0" w:after="0"/>
      <w:jc w:val="right"/>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p>
    <w:pPr>
      <w:pStyle w:val="Normal"/>
      <w:tabs>
        <w:tab w:val="clear" w:pos="720"/>
        <w:tab w:val="center" w:pos="4513" w:leader="none"/>
        <w:tab w:val="right" w:pos="9026" w:leader="none"/>
      </w:tabs>
      <w:spacing w:lineRule="auto" w:line="240" w:before="0" w:after="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spacing w:lineRule="auto" w:line="240" w:before="0" w:after="0"/>
      <w:jc w:val="right"/>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p>
    <w:pPr>
      <w:pStyle w:val="Normal"/>
      <w:tabs>
        <w:tab w:val="clear" w:pos="720"/>
        <w:tab w:val="center" w:pos="4513" w:leader="none"/>
        <w:tab w:val="right" w:pos="9026" w:leader="none"/>
      </w:tabs>
      <w:spacing w:lineRule="auto" w:line="240" w:before="0" w:after="0"/>
      <w:rPr>
        <w:color w:val="000000"/>
      </w:rPr>
    </w:pPr>
    <w:r>
      <w:rPr>
        <w:color w:val="000000"/>
      </w:rPr>
      <w:t>BP1v3</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h</w:t>
      </w:r>
      <w:r>
        <w:fldChar w:fldCharType="begin"/>
      </w:r>
      <w:r>
        <w:rPr>
          <w:rStyle w:val="InternetLink"/>
        </w:rPr>
        <w:instrText> HYPERLINK "https://www.legislation.govt.nz/regulation/public/2021/0386/latest/LMS563461.html" \l "LMS563460"</w:instrText>
      </w:r>
      <w:r>
        <w:rPr>
          <w:rStyle w:val="InternetLink"/>
        </w:rPr>
        <w:fldChar w:fldCharType="separate"/>
      </w:r>
      <w:r>
        <w:rPr>
          <w:rStyle w:val="InternetLink"/>
        </w:rPr>
        <w:t>ttps://www.legislation.govt.nz/regulation/public/2021/0386/latest/LMS563461.html#LMS563460</w:t>
      </w:r>
      <w:r>
        <w:rPr>
          <w:rStyle w:val="InternetLink"/>
        </w:rPr>
        <w:fldChar w:fldCharType="end"/>
      </w:r>
    </w:p>
  </w:footnote>
  <w:footnote w:id="3">
    <w:p>
      <w:pPr>
        <w:pStyle w:val="Normal"/>
        <w:spacing w:lineRule="auto" w:line="240" w:before="0" w:after="0"/>
        <w:rPr>
          <w:rFonts w:ascii="Arial" w:hAnsi="Arial" w:eastAsia="Arial" w:cs="Arial"/>
          <w:sz w:val="18"/>
          <w:szCs w:val="18"/>
        </w:rPr>
      </w:pPr>
      <w:r>
        <w:rPr>
          <w:rStyle w:val="FootnoteCharacters"/>
        </w:rPr>
        <w:footnoteRef/>
      </w:r>
      <w:r>
        <w:rPr>
          <w:rFonts w:eastAsia="Arial" w:cs="Arial" w:ascii="Arial" w:hAnsi="Arial"/>
          <w:sz w:val="18"/>
          <w:szCs w:val="18"/>
        </w:rPr>
        <w:t xml:space="preserve"> </w:t>
      </w:r>
      <w:hyperlink r:id="rId1">
        <w:r>
          <w:rPr>
            <w:rStyle w:val="InternetLink"/>
            <w:rFonts w:eastAsia="Arial" w:cs="Arial" w:ascii="Arial" w:hAnsi="Arial"/>
            <w:sz w:val="18"/>
            <w:szCs w:val="18"/>
          </w:rPr>
          <w:t>https://www.legislation.govt.nz/regulation/public/2021/0386/latest/LMS602811.html</w:t>
        </w:r>
      </w:hyperlink>
      <w:r>
        <w:rPr>
          <w:rFonts w:eastAsia="Arial" w:cs="Arial" w:ascii="Arial" w:hAnsi="Arial"/>
          <w:sz w:val="18"/>
          <w:szCs w:val="18"/>
        </w:rPr>
        <w:t xml:space="preserve"> </w:t>
      </w:r>
    </w:p>
  </w:footnote>
  <w:footnote w:id="4">
    <w:p>
      <w:pPr>
        <w:pStyle w:val="Normal"/>
        <w:spacing w:lineRule="auto" w:line="240" w:before="0" w:after="0"/>
        <w:rPr>
          <w:rFonts w:ascii="Arial" w:hAnsi="Arial" w:cs="Arial"/>
          <w:sz w:val="18"/>
          <w:szCs w:val="18"/>
        </w:rPr>
      </w:pPr>
      <w:r>
        <w:rPr>
          <w:rStyle w:val="FootnoteCharacters"/>
        </w:rPr>
        <w:footnoteRef/>
      </w:r>
      <w:r>
        <w:rPr>
          <w:rFonts w:cs="Arial" w:ascii="Arial" w:hAnsi="Arial"/>
          <w:sz w:val="18"/>
          <w:szCs w:val="18"/>
        </w:rPr>
        <w:t xml:space="preserve"> </w:t>
      </w:r>
      <w:hyperlink r:id="rId2">
        <w:r>
          <w:rPr>
            <w:rFonts w:cs="Arial" w:ascii="Arial" w:hAnsi="Arial"/>
            <w:color w:val="1155CC"/>
            <w:sz w:val="18"/>
            <w:szCs w:val="18"/>
            <w:u w:val="single"/>
          </w:rPr>
          <w:t>https://covid19.govt.nz/traffic-lights/life-at-red/gatherings-and-visits-at-red/public-and-private-gatherings-at-red/</w:t>
        </w:r>
      </w:hyperlink>
      <w:r>
        <w:rPr>
          <w:rFonts w:cs="Arial" w:ascii="Arial" w:hAnsi="Arial"/>
          <w:sz w:val="18"/>
          <w:szCs w:val="18"/>
        </w:rPr>
        <w:t xml:space="preserve"> </w:t>
      </w:r>
    </w:p>
  </w:footnote>
  <w:footnote w:id="5">
    <w:p>
      <w:pPr>
        <w:pStyle w:val="Footnote"/>
        <w:rPr/>
      </w:pPr>
      <w:r>
        <w:rPr>
          <w:rStyle w:val="FootnoteCharacters"/>
        </w:rPr>
        <w:footnoteRef/>
      </w:r>
      <w:r>
        <w:fldChar w:fldCharType="begin"/>
      </w:r>
      <w:r>
        <w:rPr>
          <w:rStyle w:val="InternetLink"/>
        </w:rPr>
        <w:instrText> HYPERLINK "https://www.legislation.govt.nz/regulation/public/2021/0386/latest/LMS563461.html" \l "LMS563460"</w:instrText>
      </w:r>
      <w:r>
        <w:rPr>
          <w:rStyle w:val="InternetLink"/>
        </w:rPr>
        <w:fldChar w:fldCharType="separate"/>
      </w:r>
      <w:r>
        <w:rPr>
          <w:rStyle w:val="InternetLink"/>
        </w:rPr>
        <w:t>https://www.legislation.govt.nz/regulation/public/2021/0386/latest/LMS563461.html#LMS563460</w:t>
      </w:r>
      <w:r>
        <w:rPr>
          <w:rStyle w:val="InternetLink"/>
        </w:rPr>
        <w:fldChar w:fldCharType="end"/>
      </w:r>
    </w:p>
  </w:footnote>
  <w:footnote w:id="6">
    <w:p>
      <w:pPr>
        <w:pStyle w:val="Footnote"/>
        <w:rPr/>
      </w:pPr>
      <w:r>
        <w:rPr>
          <w:rStyle w:val="FootnoteCharacters"/>
        </w:rPr>
        <w:footnoteRef/>
      </w:r>
      <w:r>
        <w:rPr/>
        <w:t xml:space="preserve"> </w:t>
      </w:r>
      <w:r>
        <w:rPr>
          <w:rFonts w:cs="Arial" w:ascii="Arial" w:hAnsi="Arial"/>
          <w:color w:val="000000"/>
        </w:rPr>
        <w:t>clause 13(b)(i) Framework</w:t>
      </w:r>
    </w:p>
  </w:footnote>
  <w:footnote w:id="7">
    <w:p>
      <w:pPr>
        <w:pStyle w:val="Footnote"/>
        <w:rPr/>
      </w:pPr>
      <w:r>
        <w:rPr>
          <w:rStyle w:val="FootnoteCharacters"/>
        </w:rPr>
        <w:footnoteRef/>
      </w:r>
      <w:r>
        <w:rPr/>
        <w:t xml:space="preserve"> </w:t>
      </w:r>
      <w:r>
        <w:rPr/>
        <w:t>except activities that occur at the same time and place as services provided under a club licence under</w:t>
      </w:r>
    </w:p>
    <w:p>
      <w:pPr>
        <w:pStyle w:val="Footnote"/>
        <w:rPr/>
      </w:pPr>
      <w:r>
        <w:rPr/>
        <w:t>section 21 of the Sale and Supply of Alcohol Act 2012 - clause 13(b)(ii) Framework.</w:t>
      </w:r>
    </w:p>
  </w:footnote>
  <w:footnote w:id="8">
    <w:p>
      <w:pPr>
        <w:pStyle w:val="Footnote"/>
        <w:rPr/>
      </w:pPr>
      <w:r>
        <w:rPr>
          <w:rStyle w:val="FootnoteCharacters"/>
        </w:rPr>
        <w:footnoteRef/>
      </w:r>
      <w:r>
        <w:rPr/>
        <w:t xml:space="preserve">  </w:t>
      </w:r>
      <w:r>
        <w:rPr/>
        <w:t>clause 13(b)(v) Framework</w:t>
      </w:r>
    </w:p>
  </w:footnote>
  <w:footnote w:id="9">
    <w:p>
      <w:pPr>
        <w:pStyle w:val="Footnote"/>
        <w:rPr/>
      </w:pPr>
      <w:r>
        <w:rPr>
          <w:rStyle w:val="FootnoteCharacters"/>
        </w:rPr>
        <w:footnoteRef/>
      </w:r>
      <w:r>
        <w:rPr/>
        <w:t xml:space="preserve"> </w:t>
      </w:r>
      <w:r>
        <w:rPr/>
        <w:t>clause 47A Framework (comes into existence 5 April 2022)</w:t>
      </w:r>
    </w:p>
  </w:footnote>
  <w:footnote w:id="10">
    <w:p>
      <w:pPr>
        <w:pStyle w:val="Footnote"/>
        <w:rPr/>
      </w:pPr>
      <w:r>
        <w:rPr>
          <w:rStyle w:val="FootnoteCharacters"/>
        </w:rPr>
        <w:footnoteRef/>
      </w:r>
      <w:r>
        <w:rPr/>
        <w:t xml:space="preserve"> </w:t>
      </w:r>
      <w:r>
        <w:rPr/>
        <w:t xml:space="preserve">clause 47A Framework </w:t>
      </w:r>
    </w:p>
  </w:footnote>
  <w:footnote w:id="11">
    <w:p>
      <w:pPr>
        <w:pStyle w:val="Footnote"/>
        <w:rPr/>
      </w:pPr>
      <w:r>
        <w:rPr>
          <w:rStyle w:val="FootnoteCharacters"/>
        </w:rPr>
        <w:footnoteRef/>
      </w:r>
      <w:r>
        <w:rPr/>
        <w:t xml:space="preserve"> </w:t>
      </w:r>
      <w:r>
        <w:rPr/>
        <w:t>clause 47A Framework</w:t>
      </w:r>
    </w:p>
  </w:footnote>
  <w:footnote w:id="12">
    <w:p>
      <w:pPr>
        <w:pStyle w:val="Footnote"/>
        <w:rPr/>
      </w:pPr>
      <w:r>
        <w:rPr>
          <w:rStyle w:val="FootnoteCharacters"/>
        </w:rPr>
        <w:footnoteRef/>
      </w:r>
      <w:r>
        <w:rPr/>
        <w:t xml:space="preserve"> </w:t>
      </w:r>
      <w:r>
        <w:rPr/>
        <w:t xml:space="preserve">clause 47A Framework </w:t>
      </w:r>
    </w:p>
  </w:footnote>
  <w:footnote w:id="13">
    <w:p>
      <w:pPr>
        <w:pStyle w:val="Footnote"/>
        <w:rPr/>
      </w:pPr>
      <w:r>
        <w:rPr>
          <w:rStyle w:val="FootnoteCharacters"/>
        </w:rPr>
        <w:footnoteRef/>
      </w:r>
      <w:r>
        <w:rPr/>
        <w:t xml:space="preserve"> </w:t>
      </w:r>
      <w:r>
        <w:rPr/>
        <w:t>Complying with the 1m distancing rule, Schedule 7, Part 2</w:t>
      </w:r>
    </w:p>
  </w:footnote>
  <w:footnote w:id="14">
    <w:p>
      <w:pPr>
        <w:pStyle w:val="Footnote"/>
        <w:rPr/>
      </w:pPr>
      <w:r>
        <w:rPr>
          <w:rStyle w:val="FootnoteCharacters"/>
        </w:rPr>
        <w:footnoteRef/>
      </w:r>
      <w:r>
        <w:rPr/>
        <w:t xml:space="preserve">  </w:t>
      </w:r>
      <w:r>
        <w:rPr/>
        <w:t>Complying with the 1m distancing rule, Schedule 6, Part 2</w:t>
      </w:r>
    </w:p>
  </w:footnote>
  <w:footnote w:id="15">
    <w:p>
      <w:pPr>
        <w:pStyle w:val="Footnote"/>
        <w:rPr/>
      </w:pPr>
      <w:r>
        <w:rPr>
          <w:rStyle w:val="FootnoteCharacters"/>
        </w:rPr>
        <w:footnoteRef/>
      </w:r>
      <w:r>
        <w:rPr/>
        <w:t xml:space="preserve">  </w:t>
      </w:r>
      <w:r>
        <w:rPr/>
        <w:t>Complying with the 1m distancing rule, Schedule 5, Part 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spacing w:lineRule="auto" w:line="240" w:before="0" w:after="0"/>
      <w:jc w:val="center"/>
      <w:rPr>
        <w:color w:val="000000"/>
      </w:rPr>
    </w:pPr>
    <w:r>
      <w:rPr>
        <w:rFonts w:eastAsia="Verdana" w:cs="Verdana" w:ascii="Verdana" w:hAnsi="Verdana"/>
        <w:color w:val="4472C4"/>
        <w:sz w:val="20"/>
        <w:szCs w:val="20"/>
      </w:rPr>
      <w:t>STUDIO TEMPLATE POLICY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highlight w:val="yellow"/>
      </w:rPr>
    </w:pPr>
    <w:r>
      <w:rPr>
        <w:highlight w:val="yellow"/>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720"/>
        </w:tabs>
        <w:ind w:left="720" w:hanging="360"/>
      </w:pPr>
    </w:lvl>
    <w:lvl w:ilvl="1">
      <w:start w:val="0"/>
      <w:numFmt w:val="decimal"/>
      <w:lvlText w:val="%2."/>
      <w:lvlJc w:val="left"/>
      <w:pPr>
        <w:tabs>
          <w:tab w:val="num" w:pos="1440"/>
        </w:tabs>
        <w:ind w:left="1440" w:hanging="360"/>
      </w:pPr>
    </w:lvl>
    <w:lvl w:ilvl="2">
      <w:start w:val="0"/>
      <w:numFmt w:val="decimal"/>
      <w:lvlText w:val="%3."/>
      <w:lvlJc w:val="left"/>
      <w:pPr>
        <w:tabs>
          <w:tab w:val="num" w:pos="2160"/>
        </w:tabs>
        <w:ind w:left="2160" w:hanging="360"/>
      </w:pPr>
    </w:lvl>
    <w:lvl w:ilvl="3">
      <w:start w:val="0"/>
      <w:numFmt w:val="decimal"/>
      <w:lvlText w:val="%4."/>
      <w:lvlJc w:val="left"/>
      <w:pPr>
        <w:tabs>
          <w:tab w:val="num" w:pos="2880"/>
        </w:tabs>
        <w:ind w:left="2880" w:hanging="360"/>
      </w:pPr>
    </w:lvl>
    <w:lvl w:ilvl="4">
      <w:start w:val="0"/>
      <w:numFmt w:val="decimal"/>
      <w:lvlText w:val="%5."/>
      <w:lvlJc w:val="left"/>
      <w:pPr>
        <w:tabs>
          <w:tab w:val="num" w:pos="3600"/>
        </w:tabs>
        <w:ind w:left="3600" w:hanging="360"/>
      </w:pPr>
    </w:lvl>
    <w:lvl w:ilvl="5">
      <w:start w:val="0"/>
      <w:numFmt w:val="decimal"/>
      <w:lvlText w:val="%6."/>
      <w:lvlJc w:val="left"/>
      <w:pPr>
        <w:tabs>
          <w:tab w:val="num" w:pos="4320"/>
        </w:tabs>
        <w:ind w:left="4320" w:hanging="360"/>
      </w:pPr>
    </w:lvl>
    <w:lvl w:ilvl="6">
      <w:start w:val="0"/>
      <w:numFmt w:val="decimal"/>
      <w:lvlText w:val="%7."/>
      <w:lvlJc w:val="left"/>
      <w:pPr>
        <w:tabs>
          <w:tab w:val="num" w:pos="5040"/>
        </w:tabs>
        <w:ind w:left="5040" w:hanging="360"/>
      </w:pPr>
    </w:lvl>
    <w:lvl w:ilvl="7">
      <w:start w:val="0"/>
      <w:numFmt w:val="decimal"/>
      <w:lvlText w:val="%8."/>
      <w:lvlJc w:val="left"/>
      <w:pPr>
        <w:tabs>
          <w:tab w:val="num" w:pos="5760"/>
        </w:tabs>
        <w:ind w:left="5760" w:hanging="360"/>
      </w:pPr>
    </w:lvl>
    <w:lvl w:ilvl="8">
      <w:start w:val="0"/>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0"/>
      <w:numFmt w:val="decimal"/>
      <w:lvlText w:val="%2."/>
      <w:lvlJc w:val="left"/>
      <w:pPr>
        <w:tabs>
          <w:tab w:val="num" w:pos="1440"/>
        </w:tabs>
        <w:ind w:left="1440" w:hanging="360"/>
      </w:pPr>
    </w:lvl>
    <w:lvl w:ilvl="2">
      <w:start w:val="0"/>
      <w:numFmt w:val="decimal"/>
      <w:lvlText w:val="%3."/>
      <w:lvlJc w:val="left"/>
      <w:pPr>
        <w:tabs>
          <w:tab w:val="num" w:pos="2160"/>
        </w:tabs>
        <w:ind w:left="2160" w:hanging="360"/>
      </w:pPr>
    </w:lvl>
    <w:lvl w:ilvl="3">
      <w:start w:val="0"/>
      <w:numFmt w:val="decimal"/>
      <w:lvlText w:val="%4."/>
      <w:lvlJc w:val="left"/>
      <w:pPr>
        <w:tabs>
          <w:tab w:val="num" w:pos="2880"/>
        </w:tabs>
        <w:ind w:left="2880" w:hanging="360"/>
      </w:pPr>
    </w:lvl>
    <w:lvl w:ilvl="4">
      <w:start w:val="0"/>
      <w:numFmt w:val="decimal"/>
      <w:lvlText w:val="%5."/>
      <w:lvlJc w:val="left"/>
      <w:pPr>
        <w:tabs>
          <w:tab w:val="num" w:pos="3600"/>
        </w:tabs>
        <w:ind w:left="3600" w:hanging="360"/>
      </w:pPr>
    </w:lvl>
    <w:lvl w:ilvl="5">
      <w:start w:val="0"/>
      <w:numFmt w:val="decimal"/>
      <w:lvlText w:val="%6."/>
      <w:lvlJc w:val="left"/>
      <w:pPr>
        <w:tabs>
          <w:tab w:val="num" w:pos="4320"/>
        </w:tabs>
        <w:ind w:left="4320" w:hanging="360"/>
      </w:pPr>
    </w:lvl>
    <w:lvl w:ilvl="6">
      <w:start w:val="0"/>
      <w:numFmt w:val="decimal"/>
      <w:lvlText w:val="%7."/>
      <w:lvlJc w:val="left"/>
      <w:pPr>
        <w:tabs>
          <w:tab w:val="num" w:pos="5040"/>
        </w:tabs>
        <w:ind w:left="5040" w:hanging="360"/>
      </w:pPr>
    </w:lvl>
    <w:lvl w:ilvl="7">
      <w:start w:val="0"/>
      <w:numFmt w:val="decimal"/>
      <w:lvlText w:val="%8."/>
      <w:lvlJc w:val="left"/>
      <w:pPr>
        <w:tabs>
          <w:tab w:val="num" w:pos="5760"/>
        </w:tabs>
        <w:ind w:left="5760" w:hanging="360"/>
      </w:pPr>
    </w:lvl>
    <w:lvl w:ilvl="8">
      <w:start w:val="0"/>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en-A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spacing w:lineRule="auto" w:line="240"/>
      <w:outlineLvl w:val="1"/>
    </w:pPr>
    <w:rPr>
      <w:rFonts w:ascii="Times New Roman" w:hAnsi="Times New Roman" w:eastAsia="Times New Roman" w:cs="Times New Roman"/>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Annotationreference">
    <w:name w:val="annotation reference"/>
    <w:basedOn w:val="DefaultParagraphFont"/>
    <w:uiPriority w:val="99"/>
    <w:semiHidden/>
    <w:unhideWhenUsed/>
    <w:qFormat/>
    <w:rsid w:val="00e20ccd"/>
    <w:rPr>
      <w:sz w:val="16"/>
      <w:szCs w:val="16"/>
    </w:rPr>
  </w:style>
  <w:style w:type="character" w:styleId="CommentTextChar" w:customStyle="1">
    <w:name w:val="Comment Text Char"/>
    <w:basedOn w:val="DefaultParagraphFont"/>
    <w:link w:val="CommentText"/>
    <w:uiPriority w:val="99"/>
    <w:semiHidden/>
    <w:qFormat/>
    <w:rsid w:val="00e20ccd"/>
    <w:rPr>
      <w:sz w:val="20"/>
      <w:szCs w:val="20"/>
    </w:rPr>
  </w:style>
  <w:style w:type="character" w:styleId="CommentSubjectChar" w:customStyle="1">
    <w:name w:val="Comment Subject Char"/>
    <w:basedOn w:val="CommentTextChar"/>
    <w:link w:val="CommentSubject"/>
    <w:uiPriority w:val="99"/>
    <w:semiHidden/>
    <w:qFormat/>
    <w:rsid w:val="00e20ccd"/>
    <w:rPr>
      <w:b/>
      <w:bCs/>
      <w:sz w:val="20"/>
      <w:szCs w:val="20"/>
    </w:rPr>
  </w:style>
  <w:style w:type="character" w:styleId="BalloonTextChar" w:customStyle="1">
    <w:name w:val="Balloon Text Char"/>
    <w:basedOn w:val="DefaultParagraphFont"/>
    <w:link w:val="BalloonText"/>
    <w:uiPriority w:val="99"/>
    <w:semiHidden/>
    <w:qFormat/>
    <w:rsid w:val="00e20ccd"/>
    <w:rPr>
      <w:rFonts w:ascii="Segoe UI" w:hAnsi="Segoe UI" w:cs="Segoe UI"/>
      <w:sz w:val="18"/>
      <w:szCs w:val="18"/>
    </w:rPr>
  </w:style>
  <w:style w:type="character" w:styleId="InternetLink">
    <w:name w:val="Hyperlink"/>
    <w:basedOn w:val="DefaultParagraphFont"/>
    <w:uiPriority w:val="99"/>
    <w:unhideWhenUsed/>
    <w:rsid w:val="00ff2f44"/>
    <w:rPr>
      <w:color w:val="0000FF" w:themeColor="hyperlink"/>
      <w:u w:val="single"/>
    </w:rPr>
  </w:style>
  <w:style w:type="character" w:styleId="FootnoteTextChar" w:customStyle="1">
    <w:name w:val="Footnote Text Char"/>
    <w:basedOn w:val="DefaultParagraphFont"/>
    <w:link w:val="FootnoteText"/>
    <w:uiPriority w:val="99"/>
    <w:qFormat/>
    <w:rsid w:val="00be579e"/>
    <w:rPr>
      <w:sz w:val="20"/>
      <w:szCs w:val="20"/>
    </w:rPr>
  </w:style>
  <w:style w:type="character" w:styleId="FootnoteCharacters">
    <w:name w:val="Footnote Characters"/>
    <w:basedOn w:val="DefaultParagraphFont"/>
    <w:uiPriority w:val="99"/>
    <w:semiHidden/>
    <w:unhideWhenUsed/>
    <w:qFormat/>
    <w:rsid w:val="00be579e"/>
    <w:rPr>
      <w:vertAlign w:val="superscript"/>
    </w:rPr>
  </w:style>
  <w:style w:type="character" w:styleId="FootnoteAnchor">
    <w:name w:val="Footnote Anchor"/>
    <w:rPr>
      <w:vertAlign w:val="superscript"/>
    </w:rPr>
  </w:style>
  <w:style w:type="character" w:styleId="UnresolvedMention">
    <w:name w:val="Unresolved Mention"/>
    <w:basedOn w:val="DefaultParagraphFont"/>
    <w:uiPriority w:val="99"/>
    <w:semiHidden/>
    <w:unhideWhenUsed/>
    <w:qFormat/>
    <w:rsid w:val="00666f81"/>
    <w:rPr>
      <w:color w:val="605E5C"/>
      <w:shd w:fill="E1DFDD" w:val="clear"/>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TextChar"/>
    <w:uiPriority w:val="99"/>
    <w:semiHidden/>
    <w:unhideWhenUsed/>
    <w:qFormat/>
    <w:rsid w:val="00e20ccd"/>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20ccd"/>
    <w:pPr/>
    <w:rPr>
      <w:b/>
      <w:bCs/>
    </w:rPr>
  </w:style>
  <w:style w:type="paragraph" w:styleId="BalloonText">
    <w:name w:val="Balloon Text"/>
    <w:basedOn w:val="Normal"/>
    <w:link w:val="BalloonTextChar"/>
    <w:uiPriority w:val="99"/>
    <w:semiHidden/>
    <w:unhideWhenUsed/>
    <w:qFormat/>
    <w:rsid w:val="00e20ccd"/>
    <w:pPr>
      <w:spacing w:lineRule="auto" w:line="240" w:before="0" w:after="0"/>
    </w:pPr>
    <w:rPr>
      <w:rFonts w:ascii="Segoe UI" w:hAnsi="Segoe UI" w:cs="Segoe UI"/>
      <w:sz w:val="18"/>
      <w:szCs w:val="18"/>
    </w:rPr>
  </w:style>
  <w:style w:type="paragraph" w:styleId="Footnote">
    <w:name w:val="Footnote Text"/>
    <w:basedOn w:val="Normal"/>
    <w:link w:val="FootnoteTextChar"/>
    <w:uiPriority w:val="99"/>
    <w:unhideWhenUsed/>
    <w:rsid w:val="00be579e"/>
    <w:pPr>
      <w:spacing w:lineRule="auto" w:line="240" w:before="0" w:after="0"/>
    </w:pPr>
    <w:rPr>
      <w:sz w:val="20"/>
      <w:szCs w:val="20"/>
    </w:rPr>
  </w:style>
  <w:style w:type="paragraph" w:styleId="NormalWeb">
    <w:name w:val="Normal (Web)"/>
    <w:basedOn w:val="Normal"/>
    <w:uiPriority w:val="99"/>
    <w:semiHidden/>
    <w:unhideWhenUsed/>
    <w:qFormat/>
    <w:rsid w:val="00a92275"/>
    <w:pPr/>
    <w:rPr>
      <w:rFonts w:ascii="Times New Roman" w:hAnsi="Times New Roman" w:cs="Times New Roman"/>
      <w:sz w:val="24"/>
      <w:szCs w:val="24"/>
    </w:rPr>
  </w:style>
  <w:style w:type="paragraph" w:styleId="ListParagraph">
    <w:name w:val="List Paragraph"/>
    <w:basedOn w:val="Normal"/>
    <w:uiPriority w:val="34"/>
    <w:qFormat/>
    <w:rsid w:val="0010321b"/>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6c1c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ovid19.govt.nz/alert-levels-and-updates/legislation-and-key-document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legislation.govt.nz/regulation/public/2021/0386/latest/LMS602811.html" TargetMode="External"/><Relationship Id="rId2" Type="http://schemas.openxmlformats.org/officeDocument/2006/relationships/hyperlink" Target="https://covid19.govt.nz/traffic-lights/life-at-red/gatherings-and-visits-at-red/public-and-private-gatherings-at-r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ibj1sOTw850b1k2VJPwBAW/ruGuA==">AMUW2mVC/q1ias1D6Jim2GmeQRJFFvchOVKN7Ae1A5zGtHCGTOrrBAHjo4ba/nIKXK+q+V3WJLWZW3vNElyXCvDnEz4UJYUuIgEl1d/cTR5R4yUWztZlpqtkvkOaYg/3Ai41h3VpFTq8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892310-2F7E-4CCA-9035-F3A754FE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LibreOffice/6.4.7.2$MacOSX_X86_64 LibreOffice_project/639b8ac485750d5696d7590a72ef1b496725cfb5</Application>
  <Pages>5</Pages>
  <Words>1320</Words>
  <Characters>7126</Characters>
  <CharactersWithSpaces>8331</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2022-04-13T06:31:00Z</dcterms:created>
  <dc:creator>Jenny</dc:creator>
  <dc:description/>
  <dc:language>en-NZ</dc:language>
  <cp:lastModifiedBy/>
  <dcterms:modified xsi:type="dcterms:W3CDTF">2022-04-19T15:00:55Z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