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_rels/foot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513" w:leader="none"/>
          <w:tab w:val="right" w:pos="9026"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w:t>
      </w:r>
    </w:p>
    <w:p>
      <w:pPr>
        <w:pStyle w:val="Normal"/>
        <w:tabs>
          <w:tab w:val="clear" w:pos="720"/>
          <w:tab w:val="center" w:pos="4513" w:leader="none"/>
          <w:tab w:val="right" w:pos="9026" w:leader="none"/>
        </w:tabs>
        <w:spacing w:lineRule="auto" w:line="240" w:before="0" w:after="0"/>
        <w:jc w:val="center"/>
        <w:rPr>
          <w:rFonts w:ascii="Verdana" w:hAnsi="Verdana" w:eastAsia="Verdana" w:cs="Verdana"/>
          <w:b/>
          <w:b/>
          <w:color w:val="4472C4"/>
          <w:sz w:val="20"/>
          <w:szCs w:val="20"/>
        </w:rPr>
      </w:pPr>
      <w:r>
        <w:rPr/>
        <w:drawing>
          <wp:inline distT="0" distB="0" distL="0" distR="0">
            <wp:extent cx="3642995" cy="681990"/>
            <wp:effectExtent l="0" t="0" r="0" b="0"/>
            <wp:docPr id="1" name="image1.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Normal"/>
        <w:tabs>
          <w:tab w:val="clear" w:pos="720"/>
          <w:tab w:val="center" w:pos="4513" w:leader="none"/>
          <w:tab w:val="right" w:pos="9026" w:leader="none"/>
        </w:tabs>
        <w:spacing w:lineRule="auto" w:line="240" w:before="0" w:after="0"/>
        <w:jc w:val="center"/>
        <w:rPr>
          <w:rFonts w:ascii="Verdana" w:hAnsi="Verdana" w:eastAsia="Verdana" w:cs="Verdana"/>
          <w:b/>
          <w:b/>
          <w:color w:val="4472C4"/>
          <w:sz w:val="20"/>
          <w:szCs w:val="20"/>
        </w:rPr>
      </w:pPr>
      <w:r>
        <w:rPr>
          <w:rFonts w:eastAsia="Verdana" w:cs="Verdana" w:ascii="Verdana" w:hAnsi="Verdana"/>
          <w:b/>
          <w:color w:val="4472C4"/>
          <w:sz w:val="20"/>
          <w:szCs w:val="20"/>
        </w:rPr>
      </w:r>
    </w:p>
    <w:p>
      <w:pPr>
        <w:pStyle w:val="Normal"/>
        <w:spacing w:lineRule="auto" w:line="360" w:before="0" w:after="0"/>
        <w:rPr>
          <w:rFonts w:ascii="Verdana" w:hAnsi="Verdana" w:eastAsia="Verdana" w:cs="Verdana"/>
          <w:color w:val="4472C4"/>
          <w:sz w:val="20"/>
          <w:szCs w:val="20"/>
        </w:rPr>
      </w:pPr>
      <w:r>
        <w:rPr>
          <w:rFonts w:eastAsia="Verdana" w:cs="Verdana" w:ascii="Verdana" w:hAnsi="Verdana"/>
          <w:b/>
          <w:color w:val="4472C4"/>
          <w:sz w:val="20"/>
          <w:szCs w:val="20"/>
        </w:rPr>
        <w:t xml:space="preserve">Following is a template policy </w:t>
      </w:r>
      <w:r>
        <w:rPr>
          <w:rFonts w:eastAsia="Verdana" w:cs="Verdana" w:ascii="Verdana" w:hAnsi="Verdana"/>
          <w:color w:val="4472C4"/>
          <w:sz w:val="20"/>
          <w:szCs w:val="20"/>
        </w:rPr>
        <w:t xml:space="preserve">that can be used where you own a studio/space which is used for activities which are not covered by the Framework (such as events or sports).  </w:t>
      </w:r>
    </w:p>
    <w:p>
      <w:pPr>
        <w:pStyle w:val="Normal"/>
        <w:spacing w:lineRule="auto" w:line="360" w:before="0" w:after="0"/>
        <w:jc w:val="center"/>
        <w:rPr>
          <w:rFonts w:ascii="Verdana" w:hAnsi="Verdana" w:eastAsia="Verdana" w:cs="Verdana"/>
          <w:sz w:val="20"/>
          <w:szCs w:val="20"/>
        </w:rPr>
      </w:pPr>
      <w:r>
        <w:rPr>
          <w:rFonts w:eastAsia="Verdana" w:cs="Verdana" w:ascii="Verdana" w:hAnsi="Verdana"/>
          <w:sz w:val="20"/>
          <w:szCs w:val="20"/>
        </w:rPr>
      </w:r>
    </w:p>
    <w:tbl>
      <w:tblPr>
        <w:tblW w:w="8879" w:type="dxa"/>
        <w:jc w:val="left"/>
        <w:tblInd w:w="137" w:type="dxa"/>
        <w:tblCellMar>
          <w:top w:w="0" w:type="dxa"/>
          <w:left w:w="108" w:type="dxa"/>
          <w:bottom w:w="0" w:type="dxa"/>
          <w:right w:w="108" w:type="dxa"/>
        </w:tblCellMar>
        <w:tblLook w:val="0400" w:noVBand="1" w:noHBand="0" w:lastColumn="0" w:firstColumn="0" w:lastRow="0" w:firstRow="0"/>
      </w:tblPr>
      <w:tblGrid>
        <w:gridCol w:w="8879"/>
      </w:tblGrid>
      <w:tr>
        <w:trPr/>
        <w:tc>
          <w:tcPr>
            <w:tcW w:w="8879"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rFonts w:ascii="Verdana" w:hAnsi="Verdana" w:eastAsia="Verdana" w:cs="Verdana"/>
                <w:sz w:val="18"/>
                <w:szCs w:val="18"/>
                <w:highlight w:val="white"/>
              </w:rPr>
            </w:pPr>
            <w:r>
              <w:rPr>
                <w:rFonts w:eastAsia="Verdana" w:cs="Verdana" w:ascii="Verdana" w:hAnsi="Verdana"/>
                <w:color w:val="FF0000"/>
                <w:sz w:val="18"/>
                <w:szCs w:val="18"/>
              </w:rPr>
              <w:t xml:space="preserve">Disclaimer: </w:t>
            </w:r>
            <w:r>
              <w:rPr>
                <w:rFonts w:eastAsia="Verdana" w:cs="Verdana" w:ascii="Verdana" w:hAnsi="Verdana"/>
                <w:sz w:val="18"/>
                <w:szCs w:val="18"/>
              </w:rPr>
              <w:t xml:space="preserve">It is a strict condition of reading and/or using this policy in any way you irrevocably agree that you are bound by the terms and conditions of this disclaimer. If you do not agree with the terms and conditions of this disclaimer, you are prohibited from reading and/or using this policy. Notwithstanding anything in this policy, the information set out in this policy </w:t>
            </w:r>
            <w:r>
              <w:rPr>
                <w:rFonts w:eastAsia="Verdana" w:cs="Verdana" w:ascii="Verdana" w:hAnsi="Verdana"/>
                <w:sz w:val="18"/>
                <w:szCs w:val="18"/>
                <w:highlight w:val="white"/>
              </w:rPr>
              <w:t>is for general information only, and should not be construed as legal advice and/or health advice. No client-solicitor relationship is created whatsoever. Before taking any action based on this policy, you should consider your personal situation and consider seeking professional legal advice. You acknowledge and agree that you were advised to take legal advice prior to using any information in this policy. If you use this policy and/or any information in the policy you acknowledge and agree that you have relied on your own judgement and initiative and not in reliance of anything else. The reader and/or user of this policy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policy without this disclaimer accepts full liability for any damage whatsoever caused.</w:t>
            </w:r>
          </w:p>
          <w:p>
            <w:pPr>
              <w:pStyle w:val="Normal"/>
              <w:spacing w:lineRule="auto" w:line="360" w:before="0" w:after="160"/>
              <w:rPr>
                <w:rFonts w:ascii="Verdana" w:hAnsi="Verdana" w:eastAsia="Verdana" w:cs="Verdana"/>
                <w:color w:val="FF0000"/>
                <w:sz w:val="18"/>
                <w:szCs w:val="18"/>
              </w:rPr>
            </w:pPr>
            <w:r>
              <w:rPr>
                <w:rFonts w:eastAsia="Verdana" w:cs="Verdana" w:ascii="Verdana" w:hAnsi="Verdana"/>
                <w:color w:val="FF0000"/>
                <w:sz w:val="18"/>
                <w:szCs w:val="18"/>
              </w:rPr>
              <w:t>If you are sharing this document with others, you acknowledge and agree that you are prohibited from removing this disclaimer. The disclaimer may only be removed once the policy is ready to be used. You are also prohibited from amending the policy other than the sections identified for you to add to and you acknowledge and agree to this. If, however, you would like to use parts of this policy in a policy that you draft yourself then you are permitted to do so.</w:t>
            </w:r>
          </w:p>
        </w:tc>
      </w:tr>
    </w:tbl>
    <w:p>
      <w:pPr>
        <w:pStyle w:val="Normal"/>
        <w:tabs>
          <w:tab w:val="clear" w:pos="720"/>
          <w:tab w:val="center" w:pos="4513" w:leader="none"/>
          <w:tab w:val="right" w:pos="9026" w:leader="none"/>
        </w:tabs>
        <w:spacing w:lineRule="auto" w:line="240" w:before="0" w:after="0"/>
        <w:ind w:right="-421" w:hanging="0"/>
        <w:jc w:val="right"/>
        <w:rPr>
          <w:rFonts w:ascii="Verdana" w:hAnsi="Verdana" w:eastAsia="Verdana" w:cs="Verdana"/>
          <w:b/>
          <w:b/>
          <w:i/>
          <w:i/>
          <w:color w:val="4472C4"/>
          <w:sz w:val="20"/>
          <w:szCs w:val="20"/>
        </w:rPr>
      </w:pPr>
      <w:r>
        <w:rPr>
          <w:rFonts w:eastAsia="Verdana" w:cs="Verdana" w:ascii="Verdana" w:hAnsi="Verdana"/>
          <w:b/>
          <w:i/>
          <w:color w:val="4472C4"/>
          <w:sz w:val="20"/>
          <w:szCs w:val="20"/>
        </w:rPr>
      </w:r>
      <w:r>
        <w:br w:type="page"/>
      </w:r>
    </w:p>
    <w:p>
      <w:pPr>
        <w:pStyle w:val="Normal"/>
        <w:tabs>
          <w:tab w:val="clear" w:pos="720"/>
          <w:tab w:val="center" w:pos="4513" w:leader="none"/>
          <w:tab w:val="right" w:pos="9026" w:leader="none"/>
        </w:tabs>
        <w:spacing w:lineRule="auto" w:line="240" w:before="0" w:after="0"/>
        <w:ind w:right="-421" w:hanging="0"/>
        <w:jc w:val="right"/>
        <w:rPr>
          <w:b/>
          <w:b/>
          <w:i/>
          <w:i/>
          <w:color w:val="000000"/>
        </w:rPr>
      </w:pPr>
      <w:r>
        <w:rPr>
          <w:rFonts w:eastAsia="Verdana" w:cs="Verdana" w:ascii="Verdana" w:hAnsi="Verdana"/>
          <w:b/>
          <w:i/>
          <w:color w:val="4472C4"/>
          <w:sz w:val="20"/>
          <w:szCs w:val="20"/>
        </w:rPr>
        <w:t>INSTRUCTION PAGE ii</w:t>
      </w:r>
    </w:p>
    <w:p>
      <w:pPr>
        <w:pStyle w:val="Normal"/>
        <w:rPr>
          <w:rFonts w:ascii="Verdana" w:hAnsi="Verdana" w:eastAsia="Verdana" w:cs="Verdana"/>
          <w:b/>
          <w:b/>
          <w:color w:val="4472C4"/>
          <w:sz w:val="20"/>
          <w:szCs w:val="20"/>
        </w:rPr>
      </w:pPr>
      <w:r>
        <w:rPr>
          <w:rFonts w:eastAsia="Verdana" w:cs="Verdana" w:ascii="Verdana" w:hAnsi="Verdana"/>
          <w:b/>
          <w:color w:val="4472C4"/>
          <w:sz w:val="20"/>
          <w:szCs w:val="20"/>
        </w:rPr>
      </w:r>
    </w:p>
    <w:p>
      <w:pPr>
        <w:pStyle w:val="Normal"/>
        <w:spacing w:lineRule="auto" w:line="360" w:before="0" w:after="0"/>
        <w:jc w:val="center"/>
        <w:rPr>
          <w:rFonts w:ascii="Verdana" w:hAnsi="Verdana" w:eastAsia="Verdana" w:cs="Verdana"/>
          <w:b/>
          <w:b/>
          <w:color w:val="4472C4"/>
          <w:sz w:val="20"/>
          <w:szCs w:val="20"/>
        </w:rPr>
      </w:pPr>
      <w:r>
        <w:rPr/>
        <w:drawing>
          <wp:inline distT="0" distB="0" distL="0" distR="0">
            <wp:extent cx="3642995" cy="681990"/>
            <wp:effectExtent l="0" t="0" r="0" b="0"/>
            <wp:docPr id="2" name="Image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Text&#10;&#10;Description automatically generated with low confidence"/>
                    <pic:cNvPicPr>
                      <a:picLocks noChangeAspect="1" noChangeArrowheads="1"/>
                    </pic:cNvPicPr>
                  </pic:nvPicPr>
                  <pic:blipFill>
                    <a:blip r:embed="rId3"/>
                    <a:stretch>
                      <a:fillRect/>
                    </a:stretch>
                  </pic:blipFill>
                  <pic:spPr bwMode="auto">
                    <a:xfrm>
                      <a:off x="0" y="0"/>
                      <a:ext cx="3642995" cy="681990"/>
                    </a:xfrm>
                    <a:prstGeom prst="rect">
                      <a:avLst/>
                    </a:prstGeom>
                  </pic:spPr>
                </pic:pic>
              </a:graphicData>
            </a:graphic>
          </wp:inline>
        </w:drawing>
      </w:r>
    </w:p>
    <w:p>
      <w:pPr>
        <w:pStyle w:val="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r>
    </w:p>
    <w:p>
      <w:pPr>
        <w:pStyle w:val="Normal"/>
        <w:spacing w:lineRule="auto" w:line="360" w:before="0" w:after="0"/>
        <w:rPr>
          <w:rFonts w:ascii="Verdana" w:hAnsi="Verdana" w:eastAsia="Verdana" w:cs="Verdana"/>
          <w:b/>
          <w:b/>
          <w:color w:val="4472C4"/>
          <w:sz w:val="20"/>
          <w:szCs w:val="20"/>
        </w:rPr>
      </w:pPr>
      <w:r>
        <w:rPr>
          <w:rFonts w:eastAsia="Verdana" w:cs="Verdana" w:ascii="Verdana" w:hAnsi="Verdana"/>
          <w:b/>
          <w:color w:val="4472C4"/>
          <w:sz w:val="20"/>
          <w:szCs w:val="20"/>
        </w:rPr>
        <w:t>HOW TO USE THIS POLICY?</w:t>
      </w:r>
    </w:p>
    <w:p>
      <w:pPr>
        <w:pStyle w:val="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pStyle w:val="Normal"/>
        <w:numPr>
          <w:ilvl w:val="0"/>
          <w:numId w:val="2"/>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Read the policy carefully so that you understand what you are proposing – this policy is yours.</w:t>
      </w:r>
    </w:p>
    <w:p>
      <w:pPr>
        <w:pStyle w:val="Normal"/>
        <w:numPr>
          <w:ilvl w:val="0"/>
          <w:numId w:val="2"/>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The points you need to </w:t>
      </w:r>
      <w:r>
        <w:rPr>
          <w:rFonts w:eastAsia="Verdana" w:cs="Verdana" w:ascii="Verdana" w:hAnsi="Verdana"/>
          <w:color w:val="4472C4"/>
          <w:sz w:val="20"/>
          <w:szCs w:val="20"/>
          <w:highlight w:val="yellow"/>
        </w:rPr>
        <w:t>complete or closely consider for your situation are highlighted yellow</w:t>
      </w:r>
      <w:r>
        <w:rPr>
          <w:rFonts w:eastAsia="Verdana" w:cs="Verdana" w:ascii="Verdana" w:hAnsi="Verdana"/>
          <w:color w:val="4472C4"/>
          <w:sz w:val="20"/>
          <w:szCs w:val="20"/>
        </w:rPr>
        <w:t>.  Do not hesitate to get it checked by a friend, colleague or family member.</w:t>
      </w:r>
    </w:p>
    <w:p>
      <w:pPr>
        <w:pStyle w:val="Normal"/>
        <w:numPr>
          <w:ilvl w:val="0"/>
          <w:numId w:val="2"/>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This policy is only to be used in the situation where you are the organiser of permitted “gatherings” as defined in the Covid-19 Public Health Response (Framework) Order 2021. This may include weddings, funerals and church gatherings.</w:t>
      </w:r>
    </w:p>
    <w:p>
      <w:pPr>
        <w:pStyle w:val="Normal"/>
        <w:numPr>
          <w:ilvl w:val="0"/>
          <w:numId w:val="2"/>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Delete these first 2 guidance pages.</w:t>
      </w:r>
    </w:p>
    <w:p>
      <w:pPr>
        <w:pStyle w:val="Normal"/>
        <w:numPr>
          <w:ilvl w:val="0"/>
          <w:numId w:val="2"/>
        </w:numPr>
        <w:spacing w:lineRule="auto" w:line="360" w:before="0" w:after="0"/>
        <w:ind w:left="567" w:hanging="567"/>
        <w:rPr>
          <w:rFonts w:ascii="Verdana" w:hAnsi="Verdana" w:eastAsia="Verdana" w:cs="Verdana"/>
          <w:color w:val="4472C4"/>
          <w:sz w:val="20"/>
          <w:szCs w:val="20"/>
        </w:rPr>
      </w:pPr>
      <w:r>
        <w:rPr>
          <w:rFonts w:eastAsia="Verdana" w:cs="Verdana" w:ascii="Verdana" w:hAnsi="Verdana"/>
          <w:color w:val="4472C4"/>
          <w:sz w:val="20"/>
          <w:szCs w:val="20"/>
        </w:rPr>
        <w:t xml:space="preserve">The latest vaccination order/s are available at </w:t>
      </w:r>
      <w:hyperlink r:id="rId4">
        <w:r>
          <w:rPr>
            <w:rFonts w:eastAsia="Verdana" w:cs="Verdana" w:ascii="Verdana" w:hAnsi="Verdana"/>
            <w:color w:val="0000FF"/>
            <w:sz w:val="20"/>
            <w:szCs w:val="20"/>
            <w:u w:val="single"/>
          </w:rPr>
          <w:t>https://covid19.govt.nz/alert-levels-and-updates/legislation-and-key-documents</w:t>
        </w:r>
      </w:hyperlink>
    </w:p>
    <w:p>
      <w:pPr>
        <w:pStyle w:val="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r>
    </w:p>
    <w:p>
      <w:pPr>
        <w:sectPr>
          <w:headerReference w:type="default" r:id="rId5"/>
          <w:footerReference w:type="default" r:id="rId6"/>
          <w:type w:val="nextPage"/>
          <w:pgSz w:w="12240" w:h="15840"/>
          <w:pgMar w:left="1440" w:right="1440" w:header="708" w:top="1440" w:footer="708" w:bottom="1440" w:gutter="0"/>
          <w:pgNumType w:start="1" w:fmt="decimal"/>
          <w:formProt w:val="false"/>
          <w:textDirection w:val="lrTb"/>
          <w:docGrid w:type="default" w:linePitch="100" w:charSpace="8192"/>
        </w:sectPr>
        <w:pStyle w:val="Normal"/>
        <w:spacing w:lineRule="auto" w:line="360" w:before="0" w:after="0"/>
        <w:rPr>
          <w:rFonts w:ascii="Verdana" w:hAnsi="Verdana" w:eastAsia="Verdana" w:cs="Verdana"/>
          <w:color w:val="4472C4"/>
          <w:sz w:val="20"/>
          <w:szCs w:val="20"/>
        </w:rPr>
      </w:pPr>
      <w:r>
        <w:rPr>
          <w:rFonts w:eastAsia="Verdana" w:cs="Verdana" w:ascii="Verdana" w:hAnsi="Verdana"/>
          <w:color w:val="4472C4"/>
          <w:sz w:val="20"/>
          <w:szCs w:val="20"/>
        </w:rPr>
        <w:t>If you are asked any questions which are not self-evident, then you will need to consider their questions and may need to obtain advice specific to your situation.</w:t>
      </w:r>
    </w:p>
    <w:p>
      <w:pPr>
        <w:pStyle w:val="Normal"/>
        <w:rPr>
          <w:rFonts w:ascii="Arial" w:hAnsi="Arial" w:eastAsia="Arial" w:cs="Arial"/>
          <w:b/>
          <w:b/>
          <w:bCs/>
          <w:sz w:val="28"/>
          <w:szCs w:val="28"/>
        </w:rPr>
      </w:pPr>
      <w:r>
        <w:rPr>
          <w:rFonts w:eastAsia="Arial" w:cs="Arial" w:ascii="Arial" w:hAnsi="Arial"/>
          <w:b/>
          <w:bCs/>
          <w:sz w:val="28"/>
          <w:szCs w:val="28"/>
        </w:rPr>
        <w:t>Policy for [</w:t>
      </w:r>
      <w:r>
        <w:rPr>
          <w:rFonts w:eastAsia="Arial" w:cs="Arial" w:ascii="Arial" w:hAnsi="Arial"/>
          <w:b/>
          <w:bCs/>
          <w:sz w:val="28"/>
          <w:szCs w:val="28"/>
          <w:highlight w:val="yellow"/>
        </w:rPr>
        <w:t xml:space="preserve"> Business </w:t>
      </w:r>
      <w:r>
        <w:rPr>
          <w:rFonts w:eastAsia="Arial" w:cs="Arial" w:ascii="Arial" w:hAnsi="Arial"/>
          <w:b/>
          <w:bCs/>
          <w:sz w:val="28"/>
          <w:szCs w:val="28"/>
        </w:rPr>
        <w:t>name]</w:t>
      </w:r>
    </w:p>
    <w:p>
      <w:pPr>
        <w:pStyle w:val="Normal"/>
        <w:spacing w:lineRule="auto" w:line="276" w:before="0" w:after="0"/>
        <w:rPr>
          <w:rFonts w:ascii="Arial" w:hAnsi="Arial" w:eastAsia="Arial" w:cs="Arial"/>
          <w:b/>
          <w:b/>
        </w:rPr>
      </w:pPr>
      <w:r>
        <w:rPr>
          <w:rFonts w:eastAsia="Arial" w:cs="Arial" w:ascii="Arial" w:hAnsi="Arial"/>
          <w:b/>
        </w:rPr>
      </w:r>
    </w:p>
    <w:p>
      <w:pPr>
        <w:pStyle w:val="Normal"/>
        <w:spacing w:lineRule="auto" w:line="276" w:before="0" w:after="0"/>
        <w:rPr>
          <w:rFonts w:ascii="Arial" w:hAnsi="Arial" w:eastAsia="Arial" w:cs="Arial"/>
          <w:b/>
          <w:b/>
        </w:rPr>
      </w:pPr>
      <w:r>
        <w:rPr>
          <w:rFonts w:eastAsia="Arial" w:cs="Arial" w:ascii="Arial" w:hAnsi="Arial"/>
          <w:b/>
        </w:rPr>
        <w:t>Introduction</w:t>
      </w:r>
    </w:p>
    <w:p>
      <w:pPr>
        <w:pStyle w:val="Normal"/>
        <w:spacing w:lineRule="auto" w:line="276" w:before="0" w:after="0"/>
        <w:rPr>
          <w:rFonts w:ascii="Arial" w:hAnsi="Arial" w:eastAsia="Arial" w:cs="Arial"/>
          <w:b/>
          <w:b/>
        </w:rPr>
      </w:pPr>
      <w:r>
        <w:rPr>
          <w:rFonts w:eastAsia="Arial" w:cs="Arial" w:ascii="Arial" w:hAnsi="Arial"/>
          <w:b/>
        </w:rPr>
      </w:r>
    </w:p>
    <w:p>
      <w:pPr>
        <w:pStyle w:val="Normal"/>
        <w:spacing w:lineRule="auto" w:line="276" w:before="0" w:after="0"/>
        <w:rPr>
          <w:rFonts w:ascii="Arial" w:hAnsi="Arial" w:eastAsia="Arial" w:cs="Arial"/>
        </w:rPr>
      </w:pPr>
      <w:r>
        <w:rPr>
          <w:rFonts w:eastAsia="Arial" w:cs="Arial" w:ascii="Arial" w:hAnsi="Arial"/>
        </w:rPr>
        <w:t>Following the amendment to the Covid-19 Public Health Response (Protection Framework) Order 2021 (</w:t>
      </w:r>
      <w:r>
        <w:rPr>
          <w:rFonts w:eastAsia="Arial" w:cs="Arial" w:ascii="Arial" w:hAnsi="Arial"/>
          <w:b/>
          <w:bCs/>
        </w:rPr>
        <w:t>Framework</w:t>
      </w:r>
      <w:r>
        <w:rPr>
          <w:rFonts w:eastAsia="Arial" w:cs="Arial" w:ascii="Arial" w:hAnsi="Arial"/>
        </w:rPr>
        <w:t xml:space="preserve">), effective </w:t>
      </w:r>
      <w:r>
        <w:rPr>
          <w:rFonts w:eastAsia="Arial" w:cs="Arial" w:ascii="Arial" w:hAnsi="Arial"/>
        </w:rPr>
        <w:t>15</w:t>
      </w:r>
      <w:r>
        <w:rPr>
          <w:rFonts w:eastAsia="Arial" w:cs="Arial" w:ascii="Arial" w:hAnsi="Arial"/>
        </w:rPr>
        <w:t xml:space="preserve"> April 2022, when the country is in </w:t>
      </w:r>
      <w:r>
        <w:rPr>
          <w:rFonts w:eastAsia="Arial" w:cs="Arial" w:ascii="Arial" w:hAnsi="Arial"/>
          <w:color w:val="FF4000"/>
        </w:rPr>
        <w:t>Orange</w:t>
      </w:r>
      <w:r>
        <w:rPr>
          <w:rFonts w:eastAsia="Arial" w:cs="Arial" w:ascii="Arial" w:hAnsi="Arial"/>
        </w:rPr>
        <w:t>. We introduce this policy for operating [</w:t>
      </w:r>
      <w:r>
        <w:rPr>
          <w:rFonts w:eastAsia="Arial" w:cs="Arial" w:ascii="Arial" w:hAnsi="Arial"/>
          <w:highlight w:val="yellow"/>
        </w:rPr>
        <w:t>Business name]</w:t>
      </w:r>
      <w:r>
        <w:rPr>
          <w:rFonts w:eastAsia="Arial" w:cs="Arial" w:ascii="Arial" w:hAnsi="Arial"/>
        </w:rPr>
        <w:t xml:space="preserve">.  </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rPr>
        <w:t xml:space="preserve">This policy sets out how gatherings organised by </w:t>
      </w:r>
      <w:r>
        <w:rPr>
          <w:rFonts w:eastAsia="Arial" w:cs="Arial" w:ascii="Arial" w:hAnsi="Arial"/>
          <w:highlight w:val="yellow"/>
        </w:rPr>
        <w:t>[Business name]</w:t>
      </w:r>
      <w:r>
        <w:rPr>
          <w:rFonts w:eastAsia="Arial" w:cs="Arial" w:ascii="Arial" w:hAnsi="Arial"/>
        </w:rPr>
        <w:t xml:space="preserve"> will operate under the Framework. </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highlight w:val="yellow"/>
        </w:rPr>
        <w:t>[Business name</w:t>
      </w:r>
      <w:r>
        <w:rPr>
          <w:rFonts w:eastAsia="Arial" w:cs="Arial" w:ascii="Arial" w:hAnsi="Arial"/>
        </w:rPr>
        <w:t>] is responsible for organising [</w:t>
      </w:r>
      <w:r>
        <w:rPr>
          <w:rFonts w:eastAsia="Arial" w:cs="Arial" w:ascii="Arial" w:hAnsi="Arial"/>
          <w:highlight w:val="yellow"/>
        </w:rPr>
        <w:t>insert event type here</w:t>
      </w:r>
      <w:r>
        <w:rPr>
          <w:rFonts w:eastAsia="Arial" w:cs="Arial" w:ascii="Arial" w:hAnsi="Arial"/>
        </w:rPr>
        <w:t>] which are “gatherings” as defined in clause 13 of the Framework</w:t>
      </w:r>
      <w:r>
        <w:rPr>
          <w:rStyle w:val="FootnoteAnchor"/>
          <w:rFonts w:eastAsia="Arial" w:cs="Arial" w:ascii="Arial" w:hAnsi="Arial"/>
        </w:rPr>
        <w:footnoteReference w:id="2"/>
      </w:r>
      <w:r>
        <w:rPr>
          <w:rFonts w:eastAsia="Arial" w:cs="Arial" w:ascii="Arial" w:hAnsi="Arial"/>
        </w:rPr>
        <w:t xml:space="preserve">. </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80" w:after="0"/>
        <w:rPr>
          <w:rFonts w:ascii="Arial" w:hAnsi="Arial" w:eastAsia="Arial" w:cs="Arial"/>
          <w:color w:val="000000" w:themeColor="text1"/>
        </w:rPr>
      </w:pPr>
      <w:r>
        <w:rPr>
          <w:rFonts w:eastAsia="Arial" w:cs="Arial" w:ascii="Arial" w:hAnsi="Arial"/>
          <w:color w:val="000000" w:themeColor="text1"/>
        </w:rPr>
        <w:t>A gathering</w:t>
      </w:r>
      <w:r>
        <w:rPr>
          <w:rStyle w:val="FootnoteAnchor"/>
          <w:rFonts w:eastAsia="Arial" w:cs="Arial" w:ascii="Arial" w:hAnsi="Arial"/>
          <w:color w:val="000000" w:themeColor="text1"/>
        </w:rPr>
        <w:footnoteReference w:id="3"/>
      </w:r>
      <w:r>
        <w:rPr>
          <w:rFonts w:eastAsia="Arial" w:cs="Arial" w:ascii="Arial" w:hAnsi="Arial"/>
          <w:color w:val="000000" w:themeColor="text1"/>
        </w:rPr>
        <w:t xml:space="preserve"> is people mingling in a group (whether indoors or outdoors) and excludes</w:t>
      </w:r>
    </w:p>
    <w:p>
      <w:pPr>
        <w:pStyle w:val="Normal"/>
        <w:spacing w:lineRule="auto" w:line="276" w:before="80" w:after="0"/>
        <w:rPr>
          <w:rFonts w:ascii="Arial" w:hAnsi="Arial" w:eastAsia="Arial" w:cs="Arial"/>
          <w:color w:val="000000" w:themeColor="text1"/>
        </w:rPr>
      </w:pPr>
      <w:r>
        <w:rPr>
          <w:rFonts w:eastAsia="Arial" w:cs="Arial" w:ascii="Arial" w:hAnsi="Arial"/>
          <w:color w:val="000000" w:themeColor="text1"/>
        </w:rPr>
        <w:t>anyone who is two meters away from the group (</w:t>
      </w:r>
      <w:r>
        <w:rPr>
          <w:rFonts w:eastAsia="Arial" w:cs="Arial" w:ascii="Arial" w:hAnsi="Arial"/>
          <w:b/>
          <w:bCs/>
          <w:color w:val="000000" w:themeColor="text1"/>
        </w:rPr>
        <w:t>Gathering</w:t>
      </w:r>
      <w:r>
        <w:rPr>
          <w:rFonts w:eastAsia="Arial" w:cs="Arial" w:ascii="Arial" w:hAnsi="Arial"/>
          <w:color w:val="000000" w:themeColor="text1"/>
        </w:rPr>
        <w:t xml:space="preserve">). </w:t>
      </w:r>
    </w:p>
    <w:p>
      <w:pPr>
        <w:pStyle w:val="Normal"/>
        <w:spacing w:lineRule="auto" w:line="276" w:before="80" w:after="0"/>
        <w:rPr/>
      </w:pPr>
      <w:r>
        <w:rPr/>
      </w:r>
    </w:p>
    <w:p>
      <w:pPr>
        <w:pStyle w:val="Normal"/>
        <w:spacing w:lineRule="auto" w:line="276" w:before="80" w:after="0"/>
        <w:rPr/>
      </w:pPr>
      <w:r>
        <w:rPr>
          <w:rFonts w:eastAsia="Arial" w:cs="Arial" w:ascii="Arial" w:hAnsi="Arial"/>
          <w:color w:val="000000" w:themeColor="text1"/>
        </w:rPr>
        <w:t>For the avoidance of doubt events are a Gathering for the purposes of the Framework.</w:t>
      </w:r>
      <w:r>
        <w:rPr>
          <w:rStyle w:val="FootnoteAnchor"/>
          <w:rFonts w:eastAsia="Arial" w:cs="Arial" w:ascii="Arial" w:hAnsi="Arial"/>
          <w:color w:val="000000" w:themeColor="text1"/>
        </w:rPr>
        <w:footnoteReference w:id="4"/>
      </w:r>
    </w:p>
    <w:p>
      <w:pPr>
        <w:pStyle w:val="Normal"/>
        <w:spacing w:lineRule="auto" w:line="276" w:before="80" w:after="0"/>
        <w:rPr>
          <w:rFonts w:ascii="Arial" w:hAnsi="Arial" w:eastAsia="Arial" w:cs="Arial"/>
          <w:b/>
          <w:b/>
          <w:bCs/>
          <w:color w:val="000000" w:themeColor="text1"/>
        </w:rPr>
      </w:pPr>
      <w:r>
        <w:rPr>
          <w:rFonts w:eastAsia="Arial" w:cs="Arial" w:ascii="Arial" w:hAnsi="Arial"/>
          <w:b/>
          <w:bCs/>
          <w:color w:val="000000" w:themeColor="text1"/>
        </w:rPr>
      </w:r>
    </w:p>
    <w:p>
      <w:pPr>
        <w:pStyle w:val="Normal"/>
        <w:spacing w:lineRule="auto" w:line="276" w:before="80" w:after="0"/>
        <w:rPr>
          <w:rFonts w:ascii="Arial" w:hAnsi="Arial" w:eastAsia="Arial" w:cs="Arial"/>
          <w:b/>
          <w:b/>
          <w:bCs/>
          <w:color w:val="000000" w:themeColor="text1"/>
        </w:rPr>
      </w:pPr>
      <w:r>
        <w:rPr>
          <w:rFonts w:eastAsia="Arial" w:cs="Arial" w:ascii="Arial" w:hAnsi="Arial"/>
          <w:color w:val="000000" w:themeColor="text1"/>
        </w:rPr>
        <w:t>If there are spectators, they are likely to form their own Gathering if they are over two meters from another Gathering (e.g., the Gathering carrying out the activity) The studio activities are a “permitted gatherings” as set out at clause 42 of the Framework as they are either an outdoor Gathering (with no capacity limits</w:t>
      </w:r>
      <w:r>
        <w:rPr>
          <w:rStyle w:val="FootnoteAnchor"/>
          <w:rFonts w:eastAsia="Arial" w:cs="Arial" w:ascii="Arial" w:hAnsi="Arial"/>
          <w:color w:val="000000" w:themeColor="text1"/>
        </w:rPr>
        <w:footnoteReference w:id="5"/>
      </w:r>
      <w:r>
        <w:rPr>
          <w:rFonts w:eastAsia="Arial" w:cs="Arial" w:ascii="Arial" w:hAnsi="Arial"/>
          <w:color w:val="000000" w:themeColor="text1"/>
        </w:rPr>
        <w:t xml:space="preserve">) or for inside are a fixed capacity Gathering permitted pursuant to clause 47 of the Framework as the Gathering is the lesser of:  </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b/>
          <w:b/>
          <w:bCs/>
        </w:rPr>
      </w:pPr>
      <w:r>
        <w:rPr>
          <w:rFonts w:eastAsia="Arial" w:cs="Arial" w:ascii="Arial" w:hAnsi="Arial"/>
          <w:b/>
          <w:bCs/>
        </w:rPr>
        <w:t>Outdoors</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rPr>
        <w:t>There are no capacity limits at outdoor gatherings at any colour of the Framework, clause 47A</w:t>
      </w:r>
      <w:r>
        <w:rPr>
          <w:rStyle w:val="FootnoteAnchor"/>
          <w:rFonts w:eastAsia="Arial" w:cs="Arial" w:ascii="Arial" w:hAnsi="Arial"/>
        </w:rPr>
        <w:footnoteReference w:id="6"/>
      </w:r>
      <w:r>
        <w:rPr>
          <w:rFonts w:eastAsia="Arial" w:cs="Arial" w:ascii="Arial" w:hAnsi="Arial"/>
        </w:rPr>
        <w:t>.</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b/>
          <w:b/>
          <w:bCs/>
        </w:rPr>
      </w:pPr>
      <w:r>
        <w:rPr>
          <w:rFonts w:eastAsia="Arial" w:cs="Arial" w:ascii="Arial" w:hAnsi="Arial"/>
          <w:b/>
          <w:bCs/>
        </w:rPr>
        <w:t>Indoors</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rPr>
        <w:t>On 5 April 2022, a</w:t>
      </w:r>
      <w:r>
        <w:rPr>
          <w:rFonts w:eastAsia="Arial" w:cs="Arial" w:ascii="Arial" w:hAnsi="Arial"/>
        </w:rPr>
        <w:t xml:space="preserve">t </w:t>
      </w:r>
      <w:r>
        <w:rPr>
          <w:rFonts w:eastAsia="Arial" w:cs="Arial" w:ascii="Arial" w:hAnsi="Arial"/>
          <w:color w:val="F10D0C"/>
        </w:rPr>
        <w:t>Red</w:t>
      </w:r>
      <w:r>
        <w:rPr>
          <w:rFonts w:eastAsia="Arial" w:cs="Arial" w:ascii="Arial" w:hAnsi="Arial"/>
        </w:rPr>
        <w:t xml:space="preserve"> </w:t>
      </w:r>
      <w:r>
        <w:rPr>
          <w:rFonts w:eastAsia="Arial" w:cs="Arial" w:ascii="Arial" w:hAnsi="Arial"/>
        </w:rPr>
        <w:t>c</w:t>
      </w:r>
      <w:r>
        <w:rPr>
          <w:rFonts w:eastAsia="Arial" w:cs="Arial" w:ascii="Arial" w:hAnsi="Arial"/>
        </w:rPr>
        <w:t>apacity limits indoors have increased from 100 to 200 persons (vaccination irrelevant) as long as one-metre spacing can be maintained, clause 54 Order. No limits at Orange setting from 13 April 2022.</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rPr>
        <w:t xml:space="preserve">There are no capacity limits indoors at </w:t>
      </w:r>
      <w:r>
        <w:rPr>
          <w:rFonts w:eastAsia="Arial" w:cs="Arial" w:ascii="Arial" w:hAnsi="Arial"/>
          <w:color w:val="FF8000"/>
        </w:rPr>
        <w:t xml:space="preserve">Orange </w:t>
      </w:r>
      <w:r>
        <w:rPr>
          <w:rFonts w:eastAsia="Arial" w:cs="Arial" w:ascii="Arial" w:hAnsi="Arial"/>
        </w:rPr>
        <w:t xml:space="preserve">and </w:t>
      </w:r>
      <w:r>
        <w:rPr>
          <w:rFonts w:eastAsia="Arial" w:cs="Arial" w:ascii="Arial" w:hAnsi="Arial"/>
          <w:color w:val="00A933"/>
        </w:rPr>
        <w:t>Green</w:t>
      </w:r>
      <w:r>
        <w:rPr>
          <w:rFonts w:eastAsia="Arial" w:cs="Arial" w:ascii="Arial" w:hAnsi="Arial"/>
        </w:rPr>
        <w:t>.</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rPr>
        <w:t>Vaccine passports are no longer required.</w:t>
      </w:r>
    </w:p>
    <w:p>
      <w:pPr>
        <w:pStyle w:val="Normal"/>
        <w:spacing w:lineRule="auto" w:line="276" w:before="0" w:after="0"/>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rPr>
        <w:t xml:space="preserve">COVID-19 vaccination certificate rules (the CVC rules) are now removed so that regulated businesses and services do not need to require vaccination certificates or decide whether to operate under CVC rules as </w:t>
      </w:r>
      <w:r>
        <w:rPr>
          <w:rFonts w:eastAsia="Arial" w:cs="Arial" w:ascii="Arial" w:hAnsi="Arial"/>
        </w:rPr>
        <w:t>per the Framework</w:t>
      </w:r>
      <w:r>
        <w:rPr>
          <w:rFonts w:eastAsia="Arial" w:cs="Arial" w:ascii="Arial" w:hAnsi="Arial"/>
        </w:rPr>
        <w:t>.</w:t>
      </w:r>
    </w:p>
    <w:p>
      <w:pPr>
        <w:pStyle w:val="Normal"/>
        <w:spacing w:lineRule="auto" w:line="276" w:before="0" w:after="0"/>
        <w:rPr>
          <w:rFonts w:ascii="Arial" w:hAnsi="Arial" w:eastAsia="Arial" w:cs="Arial"/>
        </w:rPr>
      </w:pPr>
      <w:r>
        <w:rPr>
          <w:rFonts w:eastAsia="Arial" w:cs="Arial" w:ascii="Arial" w:hAnsi="Arial"/>
          <w:vertAlign w:val="superscript"/>
        </w:rPr>
      </w:r>
    </w:p>
    <w:p>
      <w:pPr>
        <w:pStyle w:val="Normal"/>
        <w:spacing w:lineRule="auto" w:line="276" w:before="0" w:after="0"/>
        <w:rPr>
          <w:rFonts w:ascii="Arial" w:hAnsi="Arial" w:eastAsia="Arial" w:cs="Arial"/>
        </w:rPr>
      </w:pPr>
      <w:r>
        <w:rPr>
          <w:rFonts w:eastAsia="Arial" w:cs="Arial" w:ascii="Arial" w:hAnsi="Arial"/>
        </w:rPr>
        <w:t>We have prepared this policy after careful consideration of what is possible under the current Framework. We would like everyone to be able to participate in our gatherings to the extent possible and will try to work with you to assist you in organising your gathering, so feel free to reach out if you have any questions.</w:t>
      </w:r>
    </w:p>
    <w:p>
      <w:pPr>
        <w:pStyle w:val="Normal"/>
        <w:spacing w:lineRule="auto" w:line="276" w:before="0" w:after="0"/>
        <w:rPr>
          <w:rFonts w:ascii="Arial" w:hAnsi="Arial" w:eastAsia="Arial" w:cs="Arial"/>
        </w:rPr>
      </w:pPr>
      <w:r>
        <w:rPr/>
      </w:r>
    </w:p>
    <w:p>
      <w:pPr>
        <w:pStyle w:val="Normal"/>
        <w:spacing w:lineRule="auto" w:line="276" w:before="0" w:after="0"/>
        <w:rPr>
          <w:rFonts w:ascii="Arial" w:hAnsi="Arial" w:eastAsia="Arial" w:cs="Arial"/>
        </w:rPr>
      </w:pPr>
      <w:r>
        <w:rPr>
          <w:rFonts w:eastAsia="Arial" w:cs="Arial" w:ascii="Arial" w:hAnsi="Arial"/>
          <w:b/>
          <w:bCs/>
        </w:rPr>
        <w:t>Attendees’ responsibilities at all colours of the Framework</w:t>
      </w:r>
    </w:p>
    <w:p>
      <w:pPr>
        <w:pStyle w:val="Normal"/>
        <w:spacing w:lineRule="auto" w:line="276" w:before="0" w:after="0"/>
        <w:rPr>
          <w:rFonts w:ascii="Arial" w:hAnsi="Arial" w:eastAsia="Arial" w:cs="Arial"/>
          <w:b/>
          <w:b/>
        </w:rPr>
      </w:pPr>
      <w:r>
        <w:rPr>
          <w:rFonts w:eastAsia="Arial" w:cs="Arial" w:ascii="Arial" w:hAnsi="Arial"/>
          <w:b/>
        </w:rPr>
      </w:r>
    </w:p>
    <w:p>
      <w:pPr>
        <w:pStyle w:val="Normal"/>
        <w:numPr>
          <w:ilvl w:val="0"/>
          <w:numId w:val="1"/>
        </w:numPr>
        <w:spacing w:lineRule="auto" w:line="276" w:before="0" w:after="0"/>
        <w:rPr>
          <w:rFonts w:ascii="Arial" w:hAnsi="Arial" w:eastAsia="Arial" w:cs="Arial"/>
        </w:rPr>
      </w:pPr>
      <w:r>
        <w:rPr>
          <w:rFonts w:eastAsia="Arial" w:cs="Arial" w:ascii="Arial" w:hAnsi="Arial"/>
        </w:rPr>
        <w:t xml:space="preserve">Attendees must use hand sanitiser upon entering the venue. </w:t>
      </w:r>
    </w:p>
    <w:p>
      <w:pPr>
        <w:pStyle w:val="Normal"/>
        <w:numPr>
          <w:ilvl w:val="0"/>
          <w:numId w:val="1"/>
        </w:numPr>
        <w:spacing w:lineRule="auto" w:line="276" w:before="0" w:after="0"/>
        <w:rPr>
          <w:rFonts w:ascii="Arial" w:hAnsi="Arial" w:eastAsia="Arial" w:cs="Arial"/>
          <w:b/>
          <w:b/>
        </w:rPr>
      </w:pPr>
      <w:r>
        <w:rPr>
          <w:rFonts w:eastAsia="Arial" w:cs="Arial" w:ascii="Arial" w:hAnsi="Arial"/>
        </w:rPr>
        <w:t>For the safety of everyone, where possible you can do a RAT testing to ensure you have not tested positive to COVID-19 and you are expected to isolate for 7 days.</w:t>
      </w:r>
    </w:p>
    <w:p>
      <w:pPr>
        <w:pStyle w:val="Normal"/>
        <w:numPr>
          <w:ilvl w:val="0"/>
          <w:numId w:val="1"/>
        </w:numPr>
        <w:spacing w:lineRule="auto" w:line="276" w:before="0" w:after="0"/>
        <w:rPr>
          <w:rFonts w:ascii="Arial" w:hAnsi="Arial" w:eastAsia="Arial" w:cs="Arial"/>
        </w:rPr>
      </w:pPr>
      <w:r>
        <w:rPr>
          <w:rFonts w:eastAsia="Arial" w:cs="Arial" w:ascii="Arial" w:hAnsi="Arial"/>
        </w:rPr>
        <w:t>Do not attend any gatherings if you have tested positive to COVID-19.</w:t>
      </w:r>
    </w:p>
    <w:p>
      <w:pPr>
        <w:pStyle w:val="Normal"/>
        <w:numPr>
          <w:ilvl w:val="0"/>
          <w:numId w:val="1"/>
        </w:numPr>
        <w:spacing w:lineRule="auto" w:line="276" w:before="0" w:after="0"/>
        <w:rPr>
          <w:rFonts w:ascii="Arial" w:hAnsi="Arial" w:eastAsia="Arial" w:cs="Arial"/>
        </w:rPr>
      </w:pPr>
      <w:r>
        <w:rPr>
          <w:rFonts w:eastAsia="Arial" w:cs="Arial" w:ascii="Arial" w:hAnsi="Arial"/>
        </w:rPr>
        <w:t xml:space="preserve">Face masks are not required at all outdoors gatherings but mask remain a requirement indoors in all gatherings when at Red. If you are exempt from wearing a mask, it might be helpful to take your communication card with you, these make it easier to explain that a face mask is unsuitable for you. </w:t>
      </w:r>
    </w:p>
    <w:p>
      <w:pPr>
        <w:pStyle w:val="Normal"/>
        <w:numPr>
          <w:ilvl w:val="0"/>
          <w:numId w:val="1"/>
        </w:numPr>
        <w:spacing w:lineRule="auto" w:line="276" w:before="0" w:after="0"/>
        <w:rPr>
          <w:rFonts w:ascii="Arial" w:hAnsi="Arial" w:eastAsia="Arial" w:cs="Arial"/>
          <w:b/>
          <w:b/>
          <w:bCs/>
        </w:rPr>
      </w:pPr>
      <w:r>
        <w:rPr>
          <w:rFonts w:eastAsia="Arial" w:cs="Arial" w:ascii="Arial" w:hAnsi="Arial"/>
        </w:rPr>
        <w:t>Note: There is no legal requirement to carry a communication card, though many may choose to do so</w:t>
      </w:r>
      <w:r>
        <w:rPr>
          <w:rFonts w:eastAsia="Arial" w:cs="Arial" w:ascii="Arial" w:hAnsi="Arial"/>
          <w:b/>
          <w:bCs/>
        </w:rPr>
        <w:t xml:space="preserve"> Gatherings Policy</w:t>
      </w:r>
    </w:p>
    <w:p>
      <w:pPr>
        <w:pStyle w:val="Normal"/>
        <w:shd w:val="clear" w:color="auto" w:fill="FFFFFF" w:themeFill="background1"/>
        <w:spacing w:lineRule="auto" w:line="276" w:before="80" w:after="0"/>
        <w:rPr>
          <w:rFonts w:ascii="Arial" w:hAnsi="Arial" w:eastAsia="Arial" w:cs="Arial"/>
          <w:b/>
          <w:b/>
          <w:bCs/>
        </w:rPr>
      </w:pPr>
      <w:r>
        <w:rPr>
          <w:rFonts w:eastAsia="Arial" w:cs="Arial" w:ascii="Arial" w:hAnsi="Arial"/>
          <w:b/>
        </w:rPr>
      </w:r>
    </w:p>
    <w:p>
      <w:pPr>
        <w:pStyle w:val="ListParagraph"/>
        <w:widowControl/>
        <w:numPr>
          <w:ilvl w:val="0"/>
          <w:numId w:val="3"/>
        </w:numPr>
        <w:suppressAutoHyphens w:val="true"/>
        <w:bidi w:val="0"/>
        <w:spacing w:lineRule="auto" w:line="276" w:before="80" w:after="0"/>
        <w:ind w:left="680" w:right="0" w:hanging="624"/>
        <w:contextualSpacing/>
        <w:jc w:val="left"/>
        <w:rPr>
          <w:rFonts w:ascii="Arial" w:hAnsi="Arial" w:eastAsia="Arial" w:cs="Arial"/>
          <w:color w:val="000000" w:themeColor="text1"/>
        </w:rPr>
      </w:pPr>
      <w:r>
        <w:rPr>
          <w:rFonts w:eastAsia="Arial" w:cs="Arial" w:ascii="Arial" w:hAnsi="Arial"/>
          <w:color w:val="000000" w:themeColor="text1"/>
        </w:rPr>
        <w:t xml:space="preserve">the fixed number of people (excluding workers) – listed in the </w:t>
      </w:r>
      <w:r>
        <w:rPr>
          <w:rFonts w:eastAsia="Arial" w:cs="Arial" w:ascii="Arial" w:hAnsi="Arial"/>
          <w:color w:val="00A933"/>
        </w:rPr>
        <w:t>Green</w:t>
      </w:r>
      <w:r>
        <w:rPr>
          <w:rFonts w:eastAsia="Arial" w:cs="Arial" w:ascii="Arial" w:hAnsi="Arial"/>
          <w:color w:val="000000" w:themeColor="text1"/>
        </w:rPr>
        <w:t xml:space="preserve">, </w:t>
      </w:r>
      <w:r>
        <w:rPr>
          <w:rFonts w:eastAsia="Arial" w:cs="Arial" w:ascii="Arial" w:hAnsi="Arial"/>
          <w:color w:val="FF8000"/>
        </w:rPr>
        <w:t>Orange</w:t>
      </w:r>
      <w:r>
        <w:rPr>
          <w:rFonts w:eastAsia="Arial" w:cs="Arial" w:ascii="Arial" w:hAnsi="Arial"/>
          <w:color w:val="000000" w:themeColor="text1"/>
        </w:rPr>
        <w:t xml:space="preserve"> or </w:t>
      </w:r>
      <w:r>
        <w:rPr>
          <w:rFonts w:eastAsia="Arial" w:cs="Arial" w:ascii="Arial" w:hAnsi="Arial"/>
          <w:color w:val="F10D0C"/>
        </w:rPr>
        <w:t>Red</w:t>
      </w:r>
      <w:r>
        <w:rPr>
          <w:rFonts w:eastAsia="Arial" w:cs="Arial" w:ascii="Arial" w:hAnsi="Arial"/>
          <w:color w:val="000000" w:themeColor="text1"/>
        </w:rPr>
        <w:t xml:space="preserve"> in the schedule to this Policy; or</w:t>
      </w:r>
    </w:p>
    <w:p>
      <w:pPr>
        <w:pStyle w:val="ListParagraph"/>
        <w:widowControl/>
        <w:numPr>
          <w:ilvl w:val="0"/>
          <w:numId w:val="3"/>
        </w:numPr>
        <w:suppressAutoHyphens w:val="true"/>
        <w:bidi w:val="0"/>
        <w:spacing w:lineRule="auto" w:line="276" w:before="80" w:after="0"/>
        <w:ind w:left="680" w:right="0" w:hanging="624"/>
        <w:contextualSpacing/>
        <w:jc w:val="left"/>
        <w:rPr>
          <w:rFonts w:ascii="Arial" w:hAnsi="Arial" w:eastAsia="Arial" w:cs="Arial"/>
          <w:color w:val="000000" w:themeColor="text1"/>
        </w:rPr>
      </w:pPr>
      <w:r>
        <w:rPr>
          <w:rFonts w:eastAsia="Arial" w:cs="Arial" w:ascii="Arial" w:hAnsi="Arial"/>
          <w:color w:val="000000" w:themeColor="text1"/>
        </w:rPr>
        <w:t xml:space="preserve">the maximum number of people who could occupy the space if each person were to comply with the specified physical distancing rule, as set out at </w:t>
      </w:r>
      <w:r>
        <w:rPr>
          <w:rFonts w:eastAsia="Arial" w:cs="Arial" w:ascii="Arial" w:hAnsi="Arial"/>
          <w:b/>
          <w:bCs/>
          <w:color w:val="000000" w:themeColor="text1"/>
        </w:rPr>
        <w:t>Schedule 1</w:t>
      </w:r>
      <w:r>
        <w:rPr>
          <w:rFonts w:eastAsia="Arial" w:cs="Arial" w:ascii="Arial" w:hAnsi="Arial"/>
          <w:color w:val="000000" w:themeColor="text1"/>
        </w:rPr>
        <w:t xml:space="preserve"> to this Policy.</w:t>
      </w:r>
    </w:p>
    <w:p>
      <w:pPr>
        <w:pStyle w:val="Normal"/>
        <w:spacing w:lineRule="auto" w:line="276" w:before="80" w:after="0"/>
        <w:rPr>
          <w:rFonts w:ascii="Arial" w:hAnsi="Arial" w:eastAsia="Arial" w:cs="Arial"/>
          <w:b/>
          <w:b/>
        </w:rPr>
      </w:pPr>
      <w:r>
        <w:rPr>
          <w:rFonts w:eastAsia="Arial" w:cs="Arial" w:ascii="Arial" w:hAnsi="Arial"/>
          <w:b/>
        </w:rPr>
      </w:r>
    </w:p>
    <w:p>
      <w:pPr>
        <w:pStyle w:val="Normal"/>
        <w:spacing w:lineRule="auto" w:line="276" w:before="80" w:after="0"/>
        <w:rPr>
          <w:rFonts w:ascii="Arial" w:hAnsi="Arial" w:eastAsia="Arial" w:cs="Arial"/>
          <w:b/>
          <w:b/>
        </w:rPr>
      </w:pPr>
      <w:r>
        <w:rPr>
          <w:rFonts w:eastAsia="Arial" w:cs="Arial" w:ascii="Arial" w:hAnsi="Arial"/>
          <w:b/>
          <w:bCs/>
          <w:color w:val="000000" w:themeColor="text1"/>
        </w:rPr>
        <w:t xml:space="preserve">Schedule 1 </w:t>
      </w:r>
      <w:r>
        <w:rPr>
          <w:rFonts w:eastAsia="Arial" w:cs="Arial" w:ascii="Arial" w:hAnsi="Arial"/>
          <w:color w:val="000000" w:themeColor="text1"/>
        </w:rPr>
        <w:t>– The business operates without vaccine certificates and adheres to the Traffic Light settings as set out in the following table.</w:t>
      </w:r>
    </w:p>
    <w:p>
      <w:pPr>
        <w:pStyle w:val="Normal"/>
        <w:spacing w:lineRule="auto" w:line="276" w:before="80" w:after="0"/>
        <w:rPr>
          <w:rFonts w:ascii="Arial" w:hAnsi="Arial" w:eastAsia="Arial" w:cs="Arial"/>
          <w:b/>
          <w:b/>
        </w:rPr>
      </w:pPr>
      <w:r>
        <w:rPr>
          <w:rFonts w:eastAsia="Arial" w:cs="Arial" w:ascii="Arial" w:hAnsi="Arial"/>
          <w:b/>
        </w:rPr>
      </w:r>
    </w:p>
    <w:p>
      <w:pPr>
        <w:pStyle w:val="Normal"/>
        <w:spacing w:lineRule="auto" w:line="276" w:before="80" w:after="0"/>
        <w:rPr>
          <w:rFonts w:ascii="Arial" w:hAnsi="Arial" w:eastAsia="Arial" w:cs="Arial"/>
          <w:b/>
          <w:b/>
        </w:rPr>
      </w:pPr>
      <w:r>
        <w:rPr>
          <w:rFonts w:eastAsia="Arial" w:cs="Arial" w:ascii="Arial" w:hAnsi="Arial"/>
          <w:color w:val="000000" w:themeColor="text1"/>
        </w:rPr>
        <w:t>Note face masks are not required in any case where attendees are exempt</w:t>
      </w:r>
      <w:r>
        <w:rPr>
          <w:rStyle w:val="FootnoteAnchor"/>
          <w:rFonts w:eastAsia="Arial" w:cs="Arial" w:ascii="Arial" w:hAnsi="Arial"/>
          <w:color w:val="000000" w:themeColor="text1"/>
        </w:rPr>
        <w:footnoteReference w:id="7"/>
      </w:r>
      <w:r>
        <w:rPr>
          <w:rFonts w:eastAsia="Arial" w:cs="Arial" w:ascii="Arial" w:hAnsi="Arial"/>
          <w:color w:val="000000" w:themeColor="text1"/>
        </w:rPr>
        <w:t>and you do</w:t>
      </w:r>
    </w:p>
    <w:p>
      <w:pPr>
        <w:pStyle w:val="Normal"/>
        <w:spacing w:lineRule="auto" w:line="276" w:before="80" w:after="0"/>
        <w:rPr>
          <w:rFonts w:ascii="Arial" w:hAnsi="Arial" w:eastAsia="Arial" w:cs="Arial"/>
          <w:b/>
          <w:b/>
        </w:rPr>
      </w:pPr>
      <w:r>
        <w:rPr>
          <w:rFonts w:eastAsia="Arial" w:cs="Arial" w:ascii="Arial" w:hAnsi="Arial"/>
          <w:color w:val="000000" w:themeColor="text1"/>
        </w:rPr>
        <w:t>not need to wear a mask at a gathering when your gathering is the only one using the</w:t>
      </w:r>
    </w:p>
    <w:p>
      <w:pPr>
        <w:pStyle w:val="Normal"/>
        <w:spacing w:lineRule="auto" w:line="276" w:before="80" w:after="0"/>
        <w:rPr>
          <w:rFonts w:ascii="Arial" w:hAnsi="Arial" w:eastAsia="Arial" w:cs="Arial"/>
          <w:b/>
          <w:b/>
        </w:rPr>
      </w:pPr>
      <w:r>
        <w:rPr>
          <w:rFonts w:eastAsia="Arial" w:cs="Arial" w:ascii="Arial" w:hAnsi="Arial"/>
          <w:color w:val="000000" w:themeColor="text1"/>
        </w:rPr>
        <w:t>defined space and other people cannot mix with your guests.</w:t>
      </w:r>
    </w:p>
    <w:p>
      <w:pPr>
        <w:pStyle w:val="Normal"/>
        <w:spacing w:lineRule="auto" w:line="276" w:before="80" w:after="0"/>
        <w:rPr>
          <w:rFonts w:ascii="Arial" w:hAnsi="Arial" w:eastAsia="Arial" w:cs="Arial"/>
          <w:b/>
          <w:b/>
        </w:rPr>
      </w:pPr>
      <w:r>
        <w:rPr/>
        <w:br/>
      </w:r>
    </w:p>
    <w:tbl>
      <w:tblPr>
        <w:tblStyle w:val="TableGrid"/>
        <w:tblW w:w="9361" w:type="dxa"/>
        <w:jc w:val="left"/>
        <w:tblInd w:w="0" w:type="dxa"/>
        <w:tblCellMar>
          <w:top w:w="0" w:type="dxa"/>
          <w:left w:w="108" w:type="dxa"/>
          <w:bottom w:w="0" w:type="dxa"/>
          <w:right w:w="108" w:type="dxa"/>
        </w:tblCellMar>
        <w:tblLook w:val="06a0" w:noVBand="1" w:noHBand="1" w:lastColumn="0" w:firstColumn="1" w:lastRow="0" w:firstRow="1"/>
      </w:tblPr>
      <w:tblGrid>
        <w:gridCol w:w="2340"/>
        <w:gridCol w:w="2340"/>
        <w:gridCol w:w="2340"/>
        <w:gridCol w:w="2340"/>
      </w:tblGrid>
      <w:tr>
        <w:trPr>
          <w:trHeight w:val="330" w:hRule="atLeast"/>
        </w:trPr>
        <w:tc>
          <w:tcPr>
            <w:tcW w:w="2340" w:type="dxa"/>
            <w:tcBorders/>
          </w:tcPr>
          <w:p>
            <w:pPr>
              <w:pStyle w:val="Normal"/>
              <w:spacing w:lineRule="auto" w:line="240" w:before="0" w:after="0"/>
              <w:rPr>
                <w:rFonts w:ascii="Arial" w:hAnsi="Arial" w:eastAsia="Arial" w:cs="Arial"/>
                <w:b/>
                <w:b/>
              </w:rPr>
            </w:pPr>
            <w:r>
              <w:rPr>
                <w:rFonts w:eastAsia="Arial" w:cs="Arial" w:ascii="Arial" w:hAnsi="Arial"/>
                <w:b/>
              </w:rPr>
            </w:r>
          </w:p>
        </w:tc>
        <w:tc>
          <w:tcPr>
            <w:tcW w:w="2340" w:type="dxa"/>
            <w:tcBorders/>
          </w:tcPr>
          <w:p>
            <w:pPr>
              <w:pStyle w:val="Normal"/>
              <w:spacing w:lineRule="auto" w:line="240" w:before="0" w:after="0"/>
              <w:rPr>
                <w:rFonts w:ascii="Arial" w:hAnsi="Arial"/>
                <w:color w:val="F10D0C"/>
              </w:rPr>
            </w:pPr>
            <w:r>
              <w:rPr>
                <w:rFonts w:ascii="Arial" w:hAnsi="Arial"/>
                <w:color w:val="F10D0C"/>
              </w:rPr>
              <w:t>RED</w:t>
            </w:r>
          </w:p>
        </w:tc>
        <w:tc>
          <w:tcPr>
            <w:tcW w:w="2340" w:type="dxa"/>
            <w:tcBorders/>
          </w:tcPr>
          <w:p>
            <w:pPr>
              <w:pStyle w:val="Normal"/>
              <w:spacing w:lineRule="auto" w:line="240" w:before="0" w:after="0"/>
              <w:rPr>
                <w:rFonts w:ascii="Arial" w:hAnsi="Arial"/>
                <w:color w:val="FF8000"/>
              </w:rPr>
            </w:pPr>
            <w:r>
              <w:rPr>
                <w:rFonts w:ascii="Arial" w:hAnsi="Arial"/>
                <w:color w:val="FF8000"/>
              </w:rPr>
              <w:t>ORANGE</w:t>
            </w:r>
          </w:p>
        </w:tc>
        <w:tc>
          <w:tcPr>
            <w:tcW w:w="2340" w:type="dxa"/>
            <w:tcBorders/>
          </w:tcPr>
          <w:p>
            <w:pPr>
              <w:pStyle w:val="Normal"/>
              <w:spacing w:lineRule="auto" w:line="240" w:before="0" w:after="0"/>
              <w:rPr>
                <w:rFonts w:ascii="Arial" w:hAnsi="Arial"/>
                <w:color w:val="00A933"/>
              </w:rPr>
            </w:pPr>
            <w:r>
              <w:rPr>
                <w:rFonts w:ascii="Arial" w:hAnsi="Arial"/>
                <w:color w:val="00A933"/>
              </w:rPr>
              <w:t>GREEN</w:t>
            </w:r>
          </w:p>
        </w:tc>
      </w:tr>
      <w:tr>
        <w:trPr/>
        <w:tc>
          <w:tcPr>
            <w:tcW w:w="2340" w:type="dxa"/>
            <w:tcBorders/>
          </w:tcPr>
          <w:p>
            <w:pPr>
              <w:pStyle w:val="Normal"/>
              <w:spacing w:lineRule="auto" w:line="240" w:before="0" w:after="0"/>
              <w:rPr>
                <w:rFonts w:ascii="Arial" w:hAnsi="Arial"/>
              </w:rPr>
            </w:pPr>
            <w:r>
              <w:rPr>
                <w:rFonts w:ascii="Arial" w:hAnsi="Arial"/>
              </w:rPr>
              <w:t>Outdoor gathering</w:t>
            </w:r>
          </w:p>
        </w:tc>
        <w:tc>
          <w:tcPr>
            <w:tcW w:w="2340" w:type="dxa"/>
            <w:tcBorders/>
          </w:tcPr>
          <w:p>
            <w:pPr>
              <w:pStyle w:val="Normal"/>
              <w:spacing w:lineRule="auto" w:line="240" w:before="0" w:after="0"/>
              <w:rPr>
                <w:rFonts w:ascii="Arial" w:hAnsi="Arial"/>
              </w:rPr>
            </w:pPr>
            <w:r>
              <w:rPr>
                <w:rFonts w:ascii="Arial" w:hAnsi="Arial"/>
              </w:rPr>
              <w:t>No limitations or restrictions</w:t>
            </w:r>
            <w:r>
              <w:rPr>
                <w:rStyle w:val="FootnoteAnchor"/>
                <w:rFonts w:ascii="Arial" w:hAnsi="Arial"/>
              </w:rPr>
              <w:footnoteReference w:id="8"/>
            </w:r>
          </w:p>
        </w:tc>
        <w:tc>
          <w:tcPr>
            <w:tcW w:w="2340" w:type="dxa"/>
            <w:tcBorders/>
          </w:tcPr>
          <w:p>
            <w:pPr>
              <w:pStyle w:val="Normal"/>
              <w:spacing w:lineRule="auto" w:line="240" w:before="0" w:after="0"/>
              <w:rPr>
                <w:rFonts w:ascii="Arial" w:hAnsi="Arial"/>
              </w:rPr>
            </w:pPr>
            <w:r>
              <w:rPr>
                <w:rFonts w:ascii="Arial" w:hAnsi="Arial"/>
              </w:rPr>
              <w:t>No limitations or restrictions</w:t>
            </w:r>
            <w:r>
              <w:rPr>
                <w:rStyle w:val="FootnoteAnchor"/>
                <w:rFonts w:ascii="Arial" w:hAnsi="Arial"/>
              </w:rPr>
              <w:footnoteReference w:id="9"/>
            </w:r>
          </w:p>
        </w:tc>
        <w:tc>
          <w:tcPr>
            <w:tcW w:w="2340" w:type="dxa"/>
            <w:tcBorders/>
          </w:tcPr>
          <w:p>
            <w:pPr>
              <w:pStyle w:val="Normal"/>
              <w:spacing w:lineRule="auto" w:line="240" w:before="0" w:after="0"/>
              <w:rPr>
                <w:rFonts w:ascii="Arial" w:hAnsi="Arial"/>
              </w:rPr>
            </w:pPr>
            <w:r>
              <w:rPr>
                <w:rFonts w:ascii="Arial" w:hAnsi="Arial"/>
              </w:rPr>
              <w:t>No limitation or restrictions</w:t>
            </w:r>
            <w:r>
              <w:rPr>
                <w:rStyle w:val="FootnoteAnchor"/>
                <w:rFonts w:ascii="Arial" w:hAnsi="Arial"/>
              </w:rPr>
              <w:footnoteReference w:id="10"/>
            </w:r>
          </w:p>
        </w:tc>
      </w:tr>
      <w:tr>
        <w:trPr/>
        <w:tc>
          <w:tcPr>
            <w:tcW w:w="2340" w:type="dxa"/>
            <w:tcBorders/>
          </w:tcPr>
          <w:p>
            <w:pPr>
              <w:pStyle w:val="Normal"/>
              <w:spacing w:lineRule="auto" w:line="240" w:before="0" w:after="0"/>
              <w:rPr>
                <w:rFonts w:ascii="Arial" w:hAnsi="Arial"/>
              </w:rPr>
            </w:pPr>
            <w:r>
              <w:rPr>
                <w:rFonts w:ascii="Arial" w:hAnsi="Arial"/>
              </w:rPr>
              <w:t>Indoor gathering</w:t>
            </w:r>
          </w:p>
        </w:tc>
        <w:tc>
          <w:tcPr>
            <w:tcW w:w="2340" w:type="dxa"/>
            <w:tcBorders/>
          </w:tcPr>
          <w:p>
            <w:pPr>
              <w:pStyle w:val="Normal"/>
              <w:spacing w:lineRule="auto" w:line="240" w:before="0" w:after="0"/>
              <w:rPr>
                <w:rFonts w:ascii="Arial" w:hAnsi="Arial"/>
              </w:rPr>
            </w:pPr>
            <w:r>
              <w:rPr>
                <w:rFonts w:ascii="Arial" w:hAnsi="Arial"/>
              </w:rPr>
              <w:t>Up to 200 people if the area is greater than 400m2</w:t>
            </w:r>
            <w:r>
              <w:rPr>
                <w:rStyle w:val="FootnoteAnchor"/>
                <w:rFonts w:ascii="Arial" w:hAnsi="Arial"/>
              </w:rPr>
              <w:footnoteReference w:id="11"/>
            </w:r>
          </w:p>
        </w:tc>
        <w:tc>
          <w:tcPr>
            <w:tcW w:w="2340" w:type="dxa"/>
            <w:tcBorders/>
          </w:tcPr>
          <w:p>
            <w:pPr>
              <w:pStyle w:val="Normal"/>
              <w:spacing w:lineRule="auto" w:line="240" w:before="0" w:after="0"/>
              <w:rPr>
                <w:rFonts w:ascii="Arial" w:hAnsi="Arial"/>
              </w:rPr>
            </w:pPr>
            <w:r>
              <w:rPr>
                <w:rFonts w:ascii="Arial" w:hAnsi="Arial"/>
              </w:rPr>
              <w:t>No limitations or restrictions.</w:t>
            </w:r>
            <w:r>
              <w:rPr>
                <w:rStyle w:val="FootnoteAnchor"/>
                <w:rFonts w:ascii="Arial" w:hAnsi="Arial"/>
              </w:rPr>
              <w:footnoteReference w:id="12"/>
            </w:r>
          </w:p>
        </w:tc>
        <w:tc>
          <w:tcPr>
            <w:tcW w:w="2340" w:type="dxa"/>
            <w:tcBorders/>
          </w:tcPr>
          <w:p>
            <w:pPr>
              <w:pStyle w:val="Normal"/>
              <w:spacing w:lineRule="auto" w:line="240" w:before="0" w:after="0"/>
              <w:rPr>
                <w:rFonts w:ascii="Arial" w:hAnsi="Arial"/>
              </w:rPr>
            </w:pPr>
            <w:r>
              <w:rPr>
                <w:rFonts w:ascii="Arial" w:hAnsi="Arial"/>
              </w:rPr>
              <w:t>No limitations or restrictions</w:t>
            </w:r>
            <w:r>
              <w:rPr>
                <w:rStyle w:val="FootnoteAnchor"/>
                <w:rFonts w:ascii="Arial" w:hAnsi="Arial"/>
              </w:rPr>
              <w:footnoteReference w:id="13"/>
            </w:r>
          </w:p>
        </w:tc>
      </w:tr>
    </w:tbl>
    <w:p>
      <w:pPr>
        <w:pStyle w:val="Normal"/>
        <w:shd w:val="clear" w:color="auto" w:fill="FFFFFF" w:themeFill="background1"/>
        <w:spacing w:lineRule="auto" w:line="276" w:before="80" w:after="0"/>
        <w:rPr>
          <w:rFonts w:ascii="Arial" w:hAnsi="Arial" w:eastAsia="Arial" w:cs="Arial"/>
          <w:b/>
          <w:b/>
        </w:rPr>
      </w:pPr>
      <w:r>
        <w:rPr>
          <w:rFonts w:eastAsia="Arial" w:cs="Arial" w:ascii="Arial" w:hAnsi="Arial"/>
          <w:b/>
        </w:rPr>
      </w:r>
    </w:p>
    <w:p>
      <w:pPr>
        <w:pStyle w:val="Normal"/>
        <w:spacing w:lineRule="auto" w:line="276" w:before="80" w:after="0"/>
        <w:rPr>
          <w:rFonts w:ascii="Arial" w:hAnsi="Arial" w:eastAsia="Arial" w:cs="Arial"/>
          <w:b/>
          <w:b/>
        </w:rPr>
      </w:pPr>
      <w:r>
        <w:rPr/>
      </w:r>
    </w:p>
    <w:sectPr>
      <w:headerReference w:type="default" r:id="rId7"/>
      <w:footerReference w:type="default" r:id="rId8"/>
      <w:footnotePr>
        <w:numFmt w:val="decimal"/>
      </w:footnotePr>
      <w:type w:val="nextPage"/>
      <w:pgSz w:w="12240" w:h="15840"/>
      <w:pgMar w:left="1440" w:right="1440" w:header="708" w:top="1440" w:footer="708"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Arial">
    <w:charset w:val="01"/>
    <w:family w:val="roman"/>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spacing w:lineRule="auto" w:line="240" w:before="0" w:after="0"/>
      <w:jc w:val="right"/>
      <w:rPr>
        <w:color w:val="000000"/>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p>
    <w:pPr>
      <w:pStyle w:val="Normal"/>
      <w:tabs>
        <w:tab w:val="clear" w:pos="720"/>
        <w:tab w:val="center" w:pos="4513" w:leader="none"/>
        <w:tab w:val="right" w:pos="9026" w:leader="none"/>
      </w:tabs>
      <w:spacing w:lineRule="auto" w:line="240" w:before="0" w:after="0"/>
      <w:rPr>
        <w:color w:val="000000"/>
      </w:rPr>
    </w:pPr>
    <w:r>
      <w:rPr>
        <w:color w:val="000000"/>
      </w:rPr>
      <w:t>BP2v2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spacing w:lineRule="auto" w:line="240" w:before="0" w:after="0"/>
      <w:jc w:val="right"/>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p>
    <w:pPr>
      <w:pStyle w:val="Normal"/>
      <w:tabs>
        <w:tab w:val="clear" w:pos="720"/>
        <w:tab w:val="center" w:pos="4513" w:leader="none"/>
        <w:tab w:val="right" w:pos="9026" w:leader="none"/>
      </w:tabs>
      <w:spacing w:lineRule="auto" w:line="240" w:before="0" w:after="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hyperlink r:id="rId1">
        <w:r>
          <w:rPr>
            <w:rStyle w:val="InternetLink"/>
          </w:rPr>
          <w:t>https://www.legislation.govt.nz/regulation/public/2021/0386/latest/LMS602811.html</w:t>
        </w:r>
      </w:hyperlink>
      <w:r>
        <w:rPr/>
        <w:t xml:space="preserve"> </w:t>
      </w:r>
    </w:p>
  </w:footnote>
  <w:footnote w:id="3">
    <w:p>
      <w:pPr>
        <w:pStyle w:val="Footnote"/>
        <w:rPr>
          <w:rFonts w:ascii="Arial" w:hAnsi="Arial" w:eastAsia="Arial" w:cs="Arial"/>
          <w:color w:val="000000" w:themeColor="text1"/>
        </w:rPr>
      </w:pPr>
      <w:r>
        <w:rPr>
          <w:rStyle w:val="FootnoteCharacters"/>
        </w:rPr>
        <w:footnoteRef/>
      </w:r>
      <w:r>
        <w:rPr/>
        <w:t xml:space="preserve"> </w:t>
      </w:r>
      <w:hyperlink r:id="rId2">
        <w:r>
          <w:rPr>
            <w:rStyle w:val="InternetLink"/>
            <w:rFonts w:eastAsia="Arial" w:cs="Arial" w:ascii="Arial" w:hAnsi="Arial"/>
          </w:rPr>
          <w:t>https://www.legislation.govt.nz/regulation/public/2021/0386/latest/LMS602811.html</w:t>
        </w:r>
      </w:hyperlink>
    </w:p>
    <w:p>
      <w:pPr>
        <w:pStyle w:val="Footnote"/>
        <w:rPr>
          <w:rStyle w:val="InternetLink"/>
          <w:rFonts w:ascii="Arial" w:hAnsi="Arial" w:eastAsia="Arial" w:cs="Arial"/>
        </w:rPr>
      </w:pPr>
      <w:r>
        <w:rPr/>
      </w:r>
    </w:p>
  </w:footnote>
  <w:footnote w:id="4">
    <w:p>
      <w:pPr>
        <w:pStyle w:val="Footnote"/>
        <w:rPr>
          <w:rFonts w:ascii="Arial" w:hAnsi="Arial" w:eastAsia="Arial" w:cs="Arial"/>
          <w:color w:val="000000" w:themeColor="text1"/>
        </w:rPr>
      </w:pPr>
      <w:r>
        <w:rPr>
          <w:rStyle w:val="FootnoteCharacters"/>
        </w:rPr>
        <w:footnoteRef/>
      </w:r>
      <w:r>
        <w:rPr/>
        <w:t xml:space="preserve"> </w:t>
      </w:r>
      <w:r>
        <w:fldChar w:fldCharType="begin"/>
      </w:r>
      <w:r>
        <w:rPr>
          <w:rStyle w:val="InternetLink"/>
          <w:rFonts w:eastAsia="Arial" w:cs="Arial" w:ascii="Arial" w:hAnsi="Arial"/>
        </w:rPr>
        <w:instrText> HYPERLINK "https://www.legislation.govt.nz/regulation/public/2021/0386/latest/LMS563461.html" \l "LMS563460"</w:instrText>
      </w:r>
      <w:r>
        <w:rPr>
          <w:rStyle w:val="InternetLink"/>
          <w:rFonts w:eastAsia="Arial" w:cs="Arial" w:ascii="Arial" w:hAnsi="Arial"/>
        </w:rPr>
        <w:fldChar w:fldCharType="separate"/>
      </w:r>
      <w:r>
        <w:rPr>
          <w:rStyle w:val="InternetLink"/>
          <w:rFonts w:eastAsia="Arial" w:cs="Arial" w:ascii="Arial" w:hAnsi="Arial"/>
        </w:rPr>
        <w:t>https://www.legislation.govt.nz/regulation/public/2021/0386/latest/LMS563461.html#LMS563460</w:t>
      </w:r>
      <w:r>
        <w:rPr>
          <w:rStyle w:val="InternetLink"/>
          <w:rFonts w:eastAsia="Arial" w:cs="Arial" w:ascii="Arial" w:hAnsi="Arial"/>
        </w:rPr>
        <w:fldChar w:fldCharType="end"/>
      </w:r>
    </w:p>
    <w:p>
      <w:pPr>
        <w:pStyle w:val="Footnote"/>
        <w:rPr>
          <w:rStyle w:val="InternetLink"/>
          <w:rFonts w:ascii="Arial" w:hAnsi="Arial" w:eastAsia="Arial" w:cs="Arial"/>
        </w:rPr>
      </w:pPr>
      <w:r>
        <w:rPr/>
      </w:r>
    </w:p>
  </w:footnote>
  <w:footnote w:id="5">
    <w:p>
      <w:pPr>
        <w:pStyle w:val="Footnote"/>
        <w:rPr>
          <w:rFonts w:ascii="Arial" w:hAnsi="Arial" w:eastAsia="Arial" w:cs="Arial"/>
          <w:color w:val="000000" w:themeColor="text1"/>
        </w:rPr>
      </w:pPr>
      <w:r>
        <w:rPr>
          <w:rStyle w:val="FootnoteCharacters"/>
        </w:rPr>
        <w:footnoteRef/>
      </w:r>
      <w:r>
        <w:rPr/>
        <w:t xml:space="preserve"> </w:t>
      </w:r>
      <w:r>
        <w:rPr>
          <w:rFonts w:eastAsia="Arial" w:cs="Arial" w:ascii="Arial" w:hAnsi="Arial"/>
          <w:color w:val="000000" w:themeColor="text1"/>
        </w:rPr>
        <w:t>clause 47A Framework (comes into existence 5 April 2022)</w:t>
      </w:r>
    </w:p>
  </w:footnote>
  <w:footnote w:id="6">
    <w:p>
      <w:pPr>
        <w:pStyle w:val="Footnote"/>
        <w:rPr/>
      </w:pPr>
      <w:r>
        <w:rPr>
          <w:rStyle w:val="FootnoteCharacters"/>
        </w:rPr>
        <w:footnoteRef/>
      </w:r>
      <w:r>
        <w:rPr/>
        <w:t xml:space="preserve"> </w:t>
      </w:r>
      <w:hyperlink r:id="rId3">
        <w:r>
          <w:rPr>
            <w:rStyle w:val="InternetLink"/>
          </w:rPr>
          <w:t>https://www.legislation.govt.nz/regulation/public/2021/0386/latest/LMS672715.html</w:t>
        </w:r>
      </w:hyperlink>
      <w:r>
        <w:rPr/>
        <w:t xml:space="preserve"> </w:t>
      </w:r>
    </w:p>
  </w:footnote>
  <w:footnote w:id="7">
    <w:p>
      <w:pPr>
        <w:pStyle w:val="Normal"/>
        <w:rPr/>
      </w:pPr>
      <w:r>
        <w:rPr>
          <w:rStyle w:val="FootnoteCharacters"/>
        </w:rPr>
        <w:footnoteRef/>
      </w:r>
      <w:r>
        <w:rPr>
          <w:sz w:val="20"/>
          <w:szCs w:val="20"/>
        </w:rPr>
        <w:t xml:space="preserve"> </w:t>
      </w:r>
      <w:r>
        <w:rPr>
          <w:rFonts w:eastAsia="Arial" w:cs="Arial" w:ascii="Arial" w:hAnsi="Arial"/>
          <w:color w:val="000000" w:themeColor="text1"/>
          <w:sz w:val="20"/>
          <w:szCs w:val="20"/>
        </w:rPr>
        <w:t>Whether or not one is exempt is self-regulating and there is no requirement to produce any confirmation of any such exemption. You do not need to wear a face mask if you have a physical or mental health illness or condition or disability that makes wearing a face mask UNSUITABLE". Conditions are not defined but a non-exhaustive list of conditions that are found to make wearing a face covering unsuitable includes: shortness of breath, asthma, bronchitis, auditory processing disorder, stress, feelings of anxiety, deafness, wearing of glasses, PTSD, facial hair, nose bleeds, skin irritation...”</w:t>
      </w:r>
    </w:p>
    <w:p>
      <w:pPr>
        <w:pStyle w:val="Normal"/>
        <w:widowControl/>
        <w:suppressAutoHyphens w:val="true"/>
        <w:bidi w:val="0"/>
        <w:spacing w:lineRule="auto" w:line="259" w:before="0" w:after="160"/>
        <w:jc w:val="left"/>
        <w:rPr/>
      </w:pPr>
      <w:r>
        <w:rPr>
          <w:rFonts w:eastAsia="Arial" w:cs="Arial" w:ascii="Arial" w:hAnsi="Arial"/>
          <w:color w:val="000000" w:themeColor="text1"/>
          <w:sz w:val="20"/>
          <w:szCs w:val="20"/>
        </w:rPr>
        <w:t>Further, no masks need to be worn when people are undertaking physical activity.</w:t>
      </w:r>
    </w:p>
  </w:footnote>
  <w:footnote w:id="8">
    <w:p>
      <w:pPr>
        <w:pStyle w:val="Footnote"/>
        <w:rPr/>
      </w:pPr>
      <w:r>
        <w:rPr>
          <w:rStyle w:val="FootnoteCharacters"/>
        </w:rPr>
        <w:footnoteRef/>
      </w:r>
      <w:r>
        <w:rPr/>
        <w:t xml:space="preserve"> </w:t>
      </w:r>
      <w:r>
        <w:rPr/>
        <w:t>clause 47A Framework</w:t>
      </w:r>
    </w:p>
  </w:footnote>
  <w:footnote w:id="9">
    <w:p>
      <w:pPr>
        <w:pStyle w:val="Footnote"/>
        <w:rPr>
          <w:rFonts w:ascii="Arial" w:hAnsi="Arial" w:eastAsia="Arial" w:cs="Arial"/>
          <w:color w:val="000000" w:themeColor="text1"/>
        </w:rPr>
      </w:pPr>
      <w:r>
        <w:rPr>
          <w:rStyle w:val="FootnoteCharacters"/>
        </w:rPr>
        <w:footnoteRef/>
      </w:r>
      <w:r>
        <w:rPr/>
        <w:t xml:space="preserve"> </w:t>
      </w:r>
      <w:r>
        <w:rPr>
          <w:rFonts w:eastAsia="Arial" w:cs="Arial" w:ascii="Arial" w:hAnsi="Arial"/>
          <w:color w:val="000000" w:themeColor="text1"/>
        </w:rPr>
        <w:t>clause 47A Framework</w:t>
      </w:r>
    </w:p>
  </w:footnote>
  <w:footnote w:id="10">
    <w:p>
      <w:pPr>
        <w:pStyle w:val="Footnote"/>
        <w:rPr>
          <w:rFonts w:ascii="Arial" w:hAnsi="Arial" w:eastAsia="Arial" w:cs="Arial"/>
          <w:color w:val="000000" w:themeColor="text1"/>
        </w:rPr>
      </w:pPr>
      <w:r>
        <w:rPr>
          <w:rStyle w:val="FootnoteCharacters"/>
        </w:rPr>
        <w:footnoteRef/>
      </w:r>
      <w:r>
        <w:rPr/>
        <w:t xml:space="preserve"> </w:t>
      </w:r>
      <w:r>
        <w:rPr>
          <w:rFonts w:eastAsia="Arial" w:cs="Arial" w:ascii="Arial" w:hAnsi="Arial"/>
          <w:color w:val="000000" w:themeColor="text1"/>
        </w:rPr>
        <w:t>clause 47A Framework</w:t>
      </w:r>
    </w:p>
  </w:footnote>
  <w:footnote w:id="11">
    <w:p>
      <w:pPr>
        <w:pStyle w:val="Footnote"/>
        <w:rPr>
          <w:rFonts w:ascii="Arial" w:hAnsi="Arial" w:eastAsia="Arial" w:cs="Arial"/>
          <w:color w:val="000000" w:themeColor="text1"/>
        </w:rPr>
      </w:pPr>
      <w:r>
        <w:rPr>
          <w:rStyle w:val="FootnoteCharacters"/>
        </w:rPr>
        <w:footnoteRef/>
      </w:r>
      <w:r>
        <w:rPr/>
        <w:t xml:space="preserve"> </w:t>
      </w:r>
      <w:r>
        <w:rPr>
          <w:rFonts w:eastAsia="Arial" w:cs="Arial" w:ascii="Arial" w:hAnsi="Arial"/>
          <w:color w:val="000000" w:themeColor="text1"/>
        </w:rPr>
        <w:t>Complying with the 1m distancing rule, Schedule 7, Part 2</w:t>
      </w:r>
    </w:p>
  </w:footnote>
  <w:footnote w:id="12">
    <w:p>
      <w:pPr>
        <w:pStyle w:val="Footnote"/>
        <w:rPr>
          <w:rFonts w:ascii="Arial" w:hAnsi="Arial" w:eastAsia="Arial" w:cs="Arial"/>
          <w:color w:val="000000" w:themeColor="text1"/>
        </w:rPr>
      </w:pPr>
      <w:r>
        <w:rPr>
          <w:rStyle w:val="FootnoteCharacters"/>
        </w:rPr>
        <w:footnoteRef/>
      </w:r>
      <w:r>
        <w:rPr/>
        <w:t xml:space="preserve"> </w:t>
      </w:r>
      <w:r>
        <w:rPr>
          <w:rFonts w:eastAsia="Arial" w:cs="Arial" w:ascii="Arial" w:hAnsi="Arial"/>
          <w:color w:val="000000" w:themeColor="text1"/>
        </w:rPr>
        <w:t>Complying with the 1m distancing rule, Schedule 6, Part 2</w:t>
      </w:r>
    </w:p>
  </w:footnote>
  <w:footnote w:id="13">
    <w:p>
      <w:pPr>
        <w:pStyle w:val="Footnote"/>
        <w:rPr>
          <w:rFonts w:ascii="Arial" w:hAnsi="Arial" w:eastAsia="Arial" w:cs="Arial"/>
          <w:color w:val="000000" w:themeColor="text1"/>
        </w:rPr>
      </w:pPr>
      <w:r>
        <w:rPr>
          <w:rStyle w:val="FootnoteCharacters"/>
        </w:rPr>
        <w:footnoteRef/>
      </w:r>
      <w:r>
        <w:rPr/>
        <w:t xml:space="preserve"> </w:t>
      </w:r>
      <w:r>
        <w:rPr>
          <w:rFonts w:eastAsia="Arial" w:cs="Arial" w:ascii="Arial" w:hAnsi="Arial"/>
          <w:color w:val="000000" w:themeColor="text1"/>
        </w:rPr>
        <w:t>Complying with the 1m distancing rule, Schedule 5, Part 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spacing w:lineRule="auto" w:line="240" w:before="0" w:after="0"/>
      <w:jc w:val="center"/>
      <w:rPr>
        <w:color w:val="000000"/>
      </w:rPr>
    </w:pPr>
    <w:r>
      <w:rPr>
        <w:rFonts w:eastAsia="Verdana" w:cs="Verdana" w:ascii="Verdana" w:hAnsi="Verdana"/>
        <w:color w:val="4472C4"/>
        <w:sz w:val="20"/>
        <w:szCs w:val="20"/>
      </w:rPr>
      <w:t>GATHERING TEMPLATE POLICY</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highlight w:val="yellow"/>
      </w:rPr>
    </w:pPr>
    <w:r>
      <w:rPr>
        <w:highlight w:val="yellow"/>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NZ" w:eastAsia="en-A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NZ" w:eastAsia="en-AU"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spacing w:lineRule="auto" w:line="240"/>
      <w:outlineLvl w:val="1"/>
    </w:pPr>
    <w:rPr>
      <w:rFonts w:ascii="Times New Roman" w:hAnsi="Times New Roman" w:eastAsia="Times New Roman" w:cs="Times New Roman"/>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e20ccd"/>
    <w:rPr>
      <w:sz w:val="16"/>
      <w:szCs w:val="16"/>
    </w:rPr>
  </w:style>
  <w:style w:type="character" w:styleId="CommentTextChar" w:customStyle="1">
    <w:name w:val="Comment Text Char"/>
    <w:basedOn w:val="DefaultParagraphFont"/>
    <w:link w:val="CommentText"/>
    <w:uiPriority w:val="99"/>
    <w:semiHidden/>
    <w:qFormat/>
    <w:rsid w:val="00e20ccd"/>
    <w:rPr>
      <w:sz w:val="20"/>
      <w:szCs w:val="20"/>
    </w:rPr>
  </w:style>
  <w:style w:type="character" w:styleId="CommentSubjectChar" w:customStyle="1">
    <w:name w:val="Comment Subject Char"/>
    <w:basedOn w:val="CommentTextChar"/>
    <w:link w:val="CommentSubject"/>
    <w:uiPriority w:val="99"/>
    <w:semiHidden/>
    <w:qFormat/>
    <w:rsid w:val="00e20ccd"/>
    <w:rPr>
      <w:b/>
      <w:bCs/>
      <w:sz w:val="20"/>
      <w:szCs w:val="20"/>
    </w:rPr>
  </w:style>
  <w:style w:type="character" w:styleId="BalloonTextChar" w:customStyle="1">
    <w:name w:val="Balloon Text Char"/>
    <w:basedOn w:val="DefaultParagraphFont"/>
    <w:link w:val="BalloonText"/>
    <w:uiPriority w:val="99"/>
    <w:semiHidden/>
    <w:qFormat/>
    <w:rsid w:val="00e20ccd"/>
    <w:rPr>
      <w:rFonts w:ascii="Segoe UI" w:hAnsi="Segoe UI" w:cs="Segoe UI"/>
      <w:sz w:val="18"/>
      <w:szCs w:val="18"/>
    </w:rPr>
  </w:style>
  <w:style w:type="character" w:styleId="InternetLink">
    <w:name w:val="Hyperlink"/>
    <w:basedOn w:val="DefaultParagraphFont"/>
    <w:uiPriority w:val="99"/>
    <w:unhideWhenUsed/>
    <w:rsid w:val="007a5bff"/>
    <w:rPr>
      <w:color w:val="0000FF" w:themeColor="hyperlink"/>
      <w:u w:val="single"/>
    </w:rPr>
  </w:style>
  <w:style w:type="character" w:styleId="FootnoteCharacters" w:customStyle="1">
    <w:name w:val="Footnote Characters"/>
    <w:basedOn w:val="DefaultParagraphFont"/>
    <w:uiPriority w:val="99"/>
    <w:semiHidden/>
    <w:unhideWhenUsed/>
    <w:qFormat/>
    <w:rPr>
      <w:vertAlign w:val="superscript"/>
    </w:rPr>
  </w:style>
  <w:style w:type="character" w:styleId="FootnoteAnchor" w:customStyle="1">
    <w:name w:val="Footnote Anchor"/>
    <w:rPr>
      <w:vertAlign w:val="superscript"/>
    </w:rPr>
  </w:style>
  <w:style w:type="character" w:styleId="FootnoteTextChar" w:customStyle="1">
    <w:name w:val="Footnote Text Char"/>
    <w:basedOn w:val="DefaultParagraphFont"/>
    <w:link w:val="FootnoteText"/>
    <w:uiPriority w:val="99"/>
    <w:semiHidden/>
    <w:qFormat/>
    <w:rPr>
      <w:sz w:val="20"/>
      <w:szCs w:val="20"/>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CommentTextChar"/>
    <w:uiPriority w:val="99"/>
    <w:semiHidden/>
    <w:unhideWhenUsed/>
    <w:qFormat/>
    <w:rsid w:val="00e20ccd"/>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20ccd"/>
    <w:pPr/>
    <w:rPr>
      <w:b/>
      <w:bCs/>
    </w:rPr>
  </w:style>
  <w:style w:type="paragraph" w:styleId="BalloonText">
    <w:name w:val="Balloon Text"/>
    <w:basedOn w:val="Normal"/>
    <w:link w:val="BalloonTextChar"/>
    <w:uiPriority w:val="99"/>
    <w:semiHidden/>
    <w:unhideWhenUsed/>
    <w:qFormat/>
    <w:rsid w:val="00e20ccd"/>
    <w:pPr>
      <w:spacing w:lineRule="auto" w:line="240" w:before="0" w:after="0"/>
    </w:pPr>
    <w:rPr>
      <w:rFonts w:ascii="Segoe UI" w:hAnsi="Segoe UI" w:cs="Segoe UI"/>
      <w:sz w:val="18"/>
      <w:szCs w:val="18"/>
    </w:rPr>
  </w:style>
  <w:style w:type="paragraph" w:styleId="ListParagraph">
    <w:name w:val="List Paragraph"/>
    <w:basedOn w:val="Normal"/>
    <w:uiPriority w:val="34"/>
    <w:qFormat/>
    <w:pPr>
      <w:spacing w:before="0" w:after="160"/>
      <w:ind w:left="720" w:hanging="0"/>
      <w:contextualSpacing/>
    </w:pPr>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covid19.govt.nz/alert-levels-and-updates/legislation-and-key-document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legislation.govt.nz/regulation/public/2021/0386/latest/LMS602811.html" TargetMode="External"/><Relationship Id="rId2" Type="http://schemas.openxmlformats.org/officeDocument/2006/relationships/hyperlink" Target="https://www.legislation.govt.nz/regulation/public/2021/0386/latest/LMS602811.html" TargetMode="External"/><Relationship Id="rId3" Type="http://schemas.openxmlformats.org/officeDocument/2006/relationships/hyperlink" Target="https://www.legislation.govt.nz/regulation/public/2021/0386/latest/LMS67271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CLKZuGBdtlOnk0bGrmIc1y3cSmg==">AMUW2mUeOSFTgCe1YITw3qiX7BCzaUro7bX5+91nSsAliCp6A11T4bBXHLo+sMgEmNBDpQJw2Sn4YfMh8ER/CxDjbr460CMiQWxgZ0CsoiSN/mIIhemV40f5SLIeyOCnLDxtZel78UtNOAKAtAyrhz0vL1XKVqoasw==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LibreOffice/6.4.7.2$MacOSX_X86_64 LibreOffice_project/639b8ac485750d5696d7590a72ef1b496725cfb5</Application>
  <Pages>5</Pages>
  <Words>1366</Words>
  <Characters>7254</Characters>
  <CharactersWithSpaces>8534</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2022-04-13T06:22:00Z</dcterms:created>
  <dc:creator>Benny Jones</dc:creator>
  <dc:description/>
  <dc:language>en-NZ</dc:language>
  <cp:lastModifiedBy/>
  <dcterms:modified xsi:type="dcterms:W3CDTF">2022-04-19T14:54:15Z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