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footnotes.xml.rels" ContentType="application/vnd.openxmlformats-package.relationships+xml"/>
  <Override PartName="/word/styles.xml" ContentType="application/vnd.openxmlformats-officedocument.wordprocessingml.styl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footer1.xml" ContentType="application/vnd.openxmlformats-officedocument.wordprocessingml.footer+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header2.xml" ContentType="application/vnd.openxmlformats-officedocument.wordprocessingml.header+xml"/>
  <Override PartName="/word/media/image1.png" ContentType="image/png"/>
  <Override PartName="/word/media/image2.png" ContentType="image/png"/>
  <Override PartName="/word/media/image3.png" ContentType="image/png"/>
  <Override PartName="/word/media/image4.png" ContentType="image/png"/>
  <Override PartName="/word/footer2.xml" ContentType="application/vnd.openxmlformats-officedocument.wordprocessingml.footer+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LOnormal"/>
        <w:tabs>
          <w:tab w:val="clear" w:pos="720"/>
          <w:tab w:val="center" w:pos="4680" w:leader="none"/>
          <w:tab w:val="right" w:pos="9360" w:leader="none"/>
        </w:tabs>
        <w:spacing w:lineRule="auto" w:line="240" w:before="0" w:after="0"/>
        <w:ind w:right="-421" w:hanging="0"/>
        <w:jc w:val="right"/>
        <w:rPr>
          <w:b/>
          <w:b/>
          <w:i/>
          <w:i/>
          <w:color w:val="000000"/>
        </w:rPr>
      </w:pPr>
      <w:r>
        <w:rPr>
          <w:rFonts w:eastAsia="Verdana" w:cs="Verdana" w:ascii="Verdana" w:hAnsi="Verdana"/>
          <w:b/>
          <w:i/>
          <w:color w:val="4472C4"/>
          <w:sz w:val="20"/>
          <w:szCs w:val="20"/>
        </w:rPr>
        <w:t>INSTRUCTION PAGE i</w:t>
      </w:r>
    </w:p>
    <w:p>
      <w:pPr>
        <w:pStyle w:val="LOnormal"/>
        <w:tabs>
          <w:tab w:val="clear" w:pos="720"/>
          <w:tab w:val="center" w:pos="4680" w:leader="none"/>
          <w:tab w:val="right" w:pos="9360" w:leader="none"/>
        </w:tabs>
        <w:spacing w:lineRule="auto" w:line="240" w:before="0" w:after="0"/>
        <w:jc w:val="center"/>
        <w:rPr>
          <w:color w:val="000000"/>
        </w:rPr>
      </w:pPr>
      <w:r>
        <w:rPr/>
        <w:drawing>
          <wp:inline distT="0" distB="0" distL="0" distR="0">
            <wp:extent cx="3642995" cy="681990"/>
            <wp:effectExtent l="0" t="0" r="0" b="0"/>
            <wp:docPr id="1" name="image1.png"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Text&#10;&#10;Description automatically generated with low confidence"/>
                    <pic:cNvPicPr>
                      <a:picLocks noChangeAspect="1" noChangeArrowheads="1"/>
                    </pic:cNvPicPr>
                  </pic:nvPicPr>
                  <pic:blipFill>
                    <a:blip r:embed="rId2"/>
                    <a:stretch>
                      <a:fillRect/>
                    </a:stretch>
                  </pic:blipFill>
                  <pic:spPr bwMode="auto">
                    <a:xfrm>
                      <a:off x="0" y="0"/>
                      <a:ext cx="3642995" cy="681990"/>
                    </a:xfrm>
                    <a:prstGeom prst="rect">
                      <a:avLst/>
                    </a:prstGeom>
                  </pic:spPr>
                </pic:pic>
              </a:graphicData>
            </a:graphic>
          </wp:inline>
        </w:drawing>
      </w:r>
    </w:p>
    <w:p>
      <w:pPr>
        <w:pStyle w:val="LOnormal"/>
        <w:spacing w:lineRule="auto" w:line="360" w:before="0" w:after="0"/>
        <w:rPr>
          <w:rFonts w:ascii="Verdana" w:hAnsi="Verdana" w:eastAsia="Verdana" w:cs="Verdana"/>
          <w:b/>
          <w:b/>
          <w:color w:val="4472C4"/>
          <w:sz w:val="20"/>
          <w:szCs w:val="20"/>
        </w:rPr>
      </w:pPr>
      <w:r>
        <w:rPr>
          <w:rFonts w:eastAsia="Verdana" w:cs="Verdana" w:ascii="Verdana" w:hAnsi="Verdana"/>
          <w:b/>
          <w:color w:val="4472C4"/>
          <w:sz w:val="20"/>
          <w:szCs w:val="20"/>
        </w:rPr>
      </w:r>
    </w:p>
    <w:p>
      <w:pPr>
        <w:pStyle w:val="LOnormal"/>
        <w:spacing w:lineRule="auto" w:line="360" w:before="0" w:after="0"/>
        <w:rPr>
          <w:rFonts w:ascii="Verdana" w:hAnsi="Verdana" w:eastAsia="Verdana" w:cs="Verdana"/>
          <w:color w:val="4472C4"/>
          <w:sz w:val="20"/>
          <w:szCs w:val="20"/>
        </w:rPr>
      </w:pPr>
      <w:r>
        <w:rPr>
          <w:rFonts w:eastAsia="Verdana" w:cs="Verdana" w:ascii="Verdana" w:hAnsi="Verdana"/>
          <w:b/>
          <w:color w:val="4472C4"/>
          <w:sz w:val="20"/>
          <w:szCs w:val="20"/>
        </w:rPr>
        <w:t>Following is a template letter</w:t>
      </w:r>
      <w:r>
        <w:rPr>
          <w:rFonts w:eastAsia="Verdana" w:cs="Verdana" w:ascii="Verdana" w:hAnsi="Verdana"/>
          <w:color w:val="4472C4"/>
          <w:sz w:val="20"/>
          <w:szCs w:val="20"/>
        </w:rPr>
        <w:t xml:space="preserve"> that can be used in the situation where a business selling necessary or essential goods does not accept your exemption from wearing a face covering and refuses you access to their premises.</w:t>
      </w:r>
    </w:p>
    <w:p>
      <w:pPr>
        <w:pStyle w:val="LOnormal"/>
        <w:spacing w:lineRule="auto" w:line="360" w:before="0" w:after="0"/>
        <w:rPr>
          <w:rFonts w:ascii="Verdana" w:hAnsi="Verdana" w:eastAsia="Verdana" w:cs="Verdana"/>
          <w:color w:val="4472C4"/>
          <w:sz w:val="20"/>
          <w:szCs w:val="20"/>
        </w:rPr>
      </w:pPr>
      <w:r>
        <w:rPr>
          <w:rFonts w:eastAsia="Verdana" w:cs="Verdana" w:ascii="Verdana" w:hAnsi="Verdana"/>
          <w:color w:val="4472C4"/>
          <w:sz w:val="20"/>
          <w:szCs w:val="20"/>
        </w:rPr>
      </w:r>
    </w:p>
    <w:p>
      <w:pPr>
        <w:pStyle w:val="LOnormal"/>
        <w:tabs>
          <w:tab w:val="clear" w:pos="720"/>
          <w:tab w:val="left" w:pos="8498" w:leader="none"/>
        </w:tabs>
        <w:spacing w:lineRule="auto" w:line="360" w:before="0" w:after="0"/>
        <w:rPr>
          <w:rFonts w:ascii="Verdana" w:hAnsi="Verdana" w:eastAsia="Verdana" w:cs="Verdana"/>
          <w:color w:val="4472C4"/>
          <w:sz w:val="20"/>
          <w:szCs w:val="20"/>
        </w:rPr>
      </w:pPr>
      <w:r>
        <w:rPr>
          <w:rFonts w:eastAsia="Verdana" w:cs="Verdana" w:ascii="Verdana" w:hAnsi="Verdana"/>
          <w:color w:val="4472C4"/>
          <w:sz w:val="20"/>
          <w:szCs w:val="20"/>
        </w:rPr>
        <w:t xml:space="preserve">If you have been forwarded this letter by a friend, family member or colleague, then please go to </w:t>
      </w:r>
      <w:hyperlink r:id="rId3">
        <w:r>
          <w:rPr>
            <w:rFonts w:eastAsia="Verdana" w:cs="Verdana" w:ascii="Verdana" w:hAnsi="Verdana"/>
            <w:color w:val="0000FF"/>
            <w:sz w:val="20"/>
            <w:szCs w:val="20"/>
            <w:u w:val="single"/>
          </w:rPr>
          <w:t>https://voicesforfreedom.co.nz/resources</w:t>
        </w:r>
      </w:hyperlink>
      <w:r>
        <w:rPr>
          <w:rFonts w:eastAsia="Verdana" w:cs="Verdana" w:ascii="Verdana" w:hAnsi="Verdana"/>
          <w:color w:val="4472C4"/>
          <w:sz w:val="20"/>
          <w:szCs w:val="20"/>
        </w:rPr>
        <w:t xml:space="preserve"> to see more information regarding applying for a face masks exemption certificate, or other masks' letters more specific to your situation.</w:t>
      </w:r>
    </w:p>
    <w:p>
      <w:pPr>
        <w:pStyle w:val="LOnormal"/>
        <w:spacing w:lineRule="auto" w:line="360" w:before="0" w:after="0"/>
        <w:jc w:val="center"/>
        <w:rPr>
          <w:rFonts w:ascii="Verdana" w:hAnsi="Verdana" w:eastAsia="Verdana" w:cs="Verdana"/>
          <w:sz w:val="20"/>
          <w:szCs w:val="20"/>
        </w:rPr>
      </w:pPr>
      <w:r>
        <w:rPr>
          <w:rFonts w:eastAsia="Verdana" w:cs="Verdana" w:ascii="Verdana" w:hAnsi="Verdana"/>
          <w:sz w:val="20"/>
          <w:szCs w:val="20"/>
        </w:rPr>
      </w:r>
    </w:p>
    <w:tbl>
      <w:tblPr>
        <w:tblW w:w="8879" w:type="dxa"/>
        <w:jc w:val="left"/>
        <w:tblInd w:w="137" w:type="dxa"/>
        <w:tblCellMar>
          <w:top w:w="0" w:type="dxa"/>
          <w:left w:w="108" w:type="dxa"/>
          <w:bottom w:w="0" w:type="dxa"/>
          <w:right w:w="108" w:type="dxa"/>
        </w:tblCellMar>
        <w:tblLook w:val="0400" w:noVBand="1" w:noHBand="0" w:lastColumn="0" w:firstColumn="0" w:lastRow="0" w:firstRow="0"/>
      </w:tblPr>
      <w:tblGrid>
        <w:gridCol w:w="8879"/>
      </w:tblGrid>
      <w:tr>
        <w:trPr/>
        <w:tc>
          <w:tcPr>
            <w:tcW w:w="8879" w:type="dxa"/>
            <w:tcBorders>
              <w:top w:val="single" w:sz="4" w:space="0" w:color="000000"/>
              <w:left w:val="single" w:sz="4" w:space="0" w:color="000000"/>
              <w:bottom w:val="single" w:sz="4" w:space="0" w:color="000000"/>
              <w:right w:val="single" w:sz="4" w:space="0" w:color="000000"/>
            </w:tcBorders>
          </w:tcPr>
          <w:p>
            <w:pPr>
              <w:pStyle w:val="LOnormal"/>
              <w:spacing w:lineRule="auto" w:line="360" w:before="0" w:after="0"/>
              <w:jc w:val="center"/>
              <w:rPr>
                <w:rFonts w:ascii="Verdana" w:hAnsi="Verdana" w:eastAsia="Verdana" w:cs="Verdana"/>
                <w:sz w:val="18"/>
                <w:szCs w:val="18"/>
                <w:highlight w:val="white"/>
              </w:rPr>
            </w:pPr>
            <w:r>
              <w:rPr>
                <w:rFonts w:eastAsia="Verdana" w:cs="Verdana" w:ascii="Verdana" w:hAnsi="Verdana"/>
                <w:color w:val="FF0000"/>
                <w:sz w:val="18"/>
                <w:szCs w:val="18"/>
              </w:rPr>
              <w:t xml:space="preserve">Disclaimer: </w:t>
            </w:r>
            <w:r>
              <w:rPr>
                <w:rFonts w:eastAsia="Verdana" w:cs="Verdana" w:ascii="Verdana" w:hAnsi="Verdana"/>
                <w:sz w:val="18"/>
                <w:szCs w:val="18"/>
              </w:rPr>
              <w:t xml:space="preserve">It is a strict condition of reading and/or using this letter in any way you irrevocably agree that you are bound by the terms and conditions of this disclaimer. If you do not agree with the terms and conditions of this disclaimer, you are prohibited for reading and/or using this letter. Notwithstanding anything in this letter, the information set out in this letter </w:t>
            </w:r>
            <w:r>
              <w:rPr>
                <w:rFonts w:eastAsia="Verdana" w:cs="Verdana" w:ascii="Verdana" w:hAnsi="Verdana"/>
                <w:sz w:val="18"/>
                <w:szCs w:val="18"/>
                <w:highlight w:val="white"/>
              </w:rPr>
              <w:t>is for general information only, and should not be construed as legal advice and/or health advice. No client-solicitor relationship is created whatsoever. Before taking any action based on this letter, you should consider your personal situation and seek professional legal advice. You acknowledge and agree that you were advised to take legal advice prior to using any information in this letter. If you use this letter and/or any information in the letter you acknowledge and agree that you have relied on your own judgement and initiative and not in reliance of anything else. The reader and/or user of this letter agrees to protect, indemnify, defend, and save harmless the author absolutely from and against any and all damages, claims, losses, demands, liabilities (including vicarious liability), injuries, suits, actions, judgements, costs, and expenses of any kind whatsoever (including reasonable legal fees) arising out of or in any way connected with this letter and the information contained within. Any person and/or persons that shares this letter without this disclaimer accepts full liability for any damage whatsoever caused.</w:t>
            </w:r>
          </w:p>
          <w:p>
            <w:pPr>
              <w:pStyle w:val="LOnormal"/>
              <w:spacing w:lineRule="auto" w:line="360" w:before="0" w:after="0"/>
              <w:rPr>
                <w:rFonts w:ascii="Verdana" w:hAnsi="Verdana" w:eastAsia="Verdana" w:cs="Verdana"/>
                <w:color w:val="FF0000"/>
                <w:sz w:val="18"/>
                <w:szCs w:val="18"/>
              </w:rPr>
            </w:pPr>
            <w:r>
              <w:rPr>
                <w:rFonts w:eastAsia="Verdana" w:cs="Verdana" w:ascii="Verdana" w:hAnsi="Verdana"/>
                <w:color w:val="FF0000"/>
                <w:sz w:val="18"/>
                <w:szCs w:val="18"/>
              </w:rPr>
            </w:r>
          </w:p>
          <w:p>
            <w:pPr>
              <w:pStyle w:val="LOnormal"/>
              <w:spacing w:lineRule="auto" w:line="360" w:before="0" w:after="0"/>
              <w:rPr>
                <w:rFonts w:ascii="Verdana" w:hAnsi="Verdana" w:eastAsia="Verdana" w:cs="Verdana"/>
                <w:color w:val="FF0000"/>
                <w:sz w:val="18"/>
                <w:szCs w:val="18"/>
              </w:rPr>
            </w:pPr>
            <w:r>
              <w:rPr>
                <w:rFonts w:eastAsia="Verdana" w:cs="Verdana" w:ascii="Verdana" w:hAnsi="Verdana"/>
                <w:color w:val="FF0000"/>
                <w:sz w:val="18"/>
                <w:szCs w:val="18"/>
              </w:rPr>
              <w:t xml:space="preserve">If you are sharing this document with others, you acknowledge and agree that you are prohibited from removing this disclaimer. The disclaimer may only be removed once the letter is ready to be sent by the person sending it. You are also prohibited from amending the letter other than the sections identified for you to add to and you acknowledge and agree to this. If, however, you would like to use parts of this letter in a letter that you draft yourself then you are permitted to do so. </w:t>
            </w:r>
          </w:p>
        </w:tc>
      </w:tr>
    </w:tbl>
    <w:p>
      <w:pPr>
        <w:pStyle w:val="LOnormal"/>
        <w:tabs>
          <w:tab w:val="clear" w:pos="720"/>
          <w:tab w:val="center" w:pos="4680" w:leader="none"/>
          <w:tab w:val="right" w:pos="9360" w:leader="none"/>
        </w:tabs>
        <w:spacing w:lineRule="auto" w:line="240" w:before="0" w:after="0"/>
        <w:ind w:right="-421" w:hanging="0"/>
        <w:jc w:val="right"/>
        <w:rPr>
          <w:b/>
          <w:b/>
          <w:i/>
          <w:i/>
          <w:color w:val="000000"/>
        </w:rPr>
      </w:pPr>
      <w:r>
        <w:rPr>
          <w:rFonts w:eastAsia="Verdana" w:cs="Verdana" w:ascii="Verdana" w:hAnsi="Verdana"/>
          <w:b/>
          <w:i/>
          <w:color w:val="4472C4"/>
          <w:sz w:val="20"/>
          <w:szCs w:val="20"/>
        </w:rPr>
        <w:t>INSTRUCTION PAGE ii</w:t>
      </w:r>
    </w:p>
    <w:p>
      <w:pPr>
        <w:pStyle w:val="LOnormal"/>
        <w:rPr>
          <w:rFonts w:ascii="Verdana" w:hAnsi="Verdana" w:eastAsia="Verdana" w:cs="Verdana"/>
          <w:b/>
          <w:b/>
          <w:color w:val="4472C4"/>
          <w:sz w:val="20"/>
          <w:szCs w:val="20"/>
        </w:rPr>
      </w:pPr>
      <w:r>
        <w:rPr>
          <w:rFonts w:eastAsia="Verdana" w:cs="Verdana" w:ascii="Verdana" w:hAnsi="Verdana"/>
          <w:b/>
          <w:color w:val="4472C4"/>
          <w:sz w:val="20"/>
          <w:szCs w:val="20"/>
        </w:rPr>
      </w:r>
    </w:p>
    <w:p>
      <w:pPr>
        <w:pStyle w:val="LOnormal"/>
        <w:spacing w:lineRule="auto" w:line="360" w:before="0" w:after="0"/>
        <w:jc w:val="center"/>
        <w:rPr>
          <w:rFonts w:ascii="Verdana" w:hAnsi="Verdana" w:eastAsia="Verdana" w:cs="Verdana"/>
          <w:b/>
          <w:b/>
          <w:color w:val="4472C4"/>
          <w:sz w:val="20"/>
          <w:szCs w:val="20"/>
        </w:rPr>
      </w:pPr>
      <w:r>
        <w:rPr/>
        <w:drawing>
          <wp:inline distT="0" distB="0" distL="0" distR="0">
            <wp:extent cx="3642995" cy="681990"/>
            <wp:effectExtent l="0" t="0" r="0" b="0"/>
            <wp:docPr id="2" name="Image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descr="Text&#10;&#10;Description automatically generated with low confidence"/>
                    <pic:cNvPicPr>
                      <a:picLocks noChangeAspect="1" noChangeArrowheads="1"/>
                    </pic:cNvPicPr>
                  </pic:nvPicPr>
                  <pic:blipFill>
                    <a:blip r:embed="rId4"/>
                    <a:stretch>
                      <a:fillRect/>
                    </a:stretch>
                  </pic:blipFill>
                  <pic:spPr bwMode="auto">
                    <a:xfrm>
                      <a:off x="0" y="0"/>
                      <a:ext cx="3642995" cy="681990"/>
                    </a:xfrm>
                    <a:prstGeom prst="rect">
                      <a:avLst/>
                    </a:prstGeom>
                  </pic:spPr>
                </pic:pic>
              </a:graphicData>
            </a:graphic>
          </wp:inline>
        </w:drawing>
      </w:r>
    </w:p>
    <w:p>
      <w:pPr>
        <w:pStyle w:val="LOnormal"/>
        <w:spacing w:lineRule="auto" w:line="360" w:before="0" w:after="0"/>
        <w:rPr>
          <w:rFonts w:ascii="Verdana" w:hAnsi="Verdana" w:eastAsia="Verdana" w:cs="Verdana"/>
          <w:b/>
          <w:b/>
          <w:color w:val="4472C4"/>
          <w:sz w:val="20"/>
          <w:szCs w:val="20"/>
        </w:rPr>
      </w:pPr>
      <w:r>
        <w:rPr>
          <w:rFonts w:eastAsia="Verdana" w:cs="Verdana" w:ascii="Verdana" w:hAnsi="Verdana"/>
          <w:b/>
          <w:color w:val="4472C4"/>
          <w:sz w:val="20"/>
          <w:szCs w:val="20"/>
        </w:rPr>
      </w:r>
    </w:p>
    <w:p>
      <w:pPr>
        <w:pStyle w:val="LOnormal"/>
        <w:spacing w:lineRule="auto" w:line="360" w:before="0" w:after="0"/>
        <w:rPr>
          <w:rFonts w:ascii="Verdana" w:hAnsi="Verdana" w:eastAsia="Verdana" w:cs="Verdana"/>
          <w:b/>
          <w:b/>
          <w:color w:val="4472C4"/>
          <w:sz w:val="20"/>
          <w:szCs w:val="20"/>
        </w:rPr>
      </w:pPr>
      <w:r>
        <w:rPr>
          <w:rFonts w:eastAsia="Verdana" w:cs="Verdana" w:ascii="Verdana" w:hAnsi="Verdana"/>
          <w:b/>
          <w:color w:val="4472C4"/>
          <w:sz w:val="20"/>
          <w:szCs w:val="20"/>
        </w:rPr>
        <w:t>WHAT IS THIS LETTER FOR?</w:t>
      </w:r>
    </w:p>
    <w:p>
      <w:pPr>
        <w:pStyle w:val="LOnormal"/>
        <w:spacing w:lineRule="auto" w:line="360" w:before="0" w:after="0"/>
        <w:ind w:firstLine="720"/>
        <w:rPr>
          <w:rFonts w:ascii="Verdana" w:hAnsi="Verdana" w:eastAsia="Verdana" w:cs="Verdana"/>
          <w:color w:val="4472C4"/>
          <w:sz w:val="20"/>
          <w:szCs w:val="20"/>
        </w:rPr>
      </w:pPr>
      <w:r>
        <w:rPr>
          <w:rFonts w:eastAsia="Verdana" w:cs="Verdana" w:ascii="Verdana" w:hAnsi="Verdana"/>
          <w:color w:val="4472C4"/>
          <w:sz w:val="20"/>
          <w:szCs w:val="20"/>
        </w:rPr>
      </w:r>
    </w:p>
    <w:p>
      <w:pPr>
        <w:pStyle w:val="LOnormal"/>
        <w:spacing w:lineRule="auto" w:line="360" w:before="0" w:after="0"/>
        <w:rPr>
          <w:rFonts w:ascii="Verdana" w:hAnsi="Verdana" w:eastAsia="Verdana" w:cs="Verdana"/>
          <w:color w:val="4472C4"/>
          <w:sz w:val="20"/>
          <w:szCs w:val="20"/>
        </w:rPr>
      </w:pPr>
      <w:r>
        <w:rPr>
          <w:rFonts w:eastAsia="Verdana" w:cs="Verdana" w:ascii="Verdana" w:hAnsi="Verdana"/>
          <w:color w:val="4472C4"/>
          <w:sz w:val="20"/>
          <w:szCs w:val="20"/>
        </w:rPr>
        <w:t>Following is a proposed template letter you may consider sending to any essential business that has refused you access to their premises because they do not accept your exemption from wearing a face covering.</w:t>
      </w:r>
    </w:p>
    <w:p>
      <w:pPr>
        <w:pStyle w:val="LOnormal"/>
        <w:spacing w:lineRule="auto" w:line="360" w:before="0" w:after="0"/>
        <w:ind w:left="720" w:hanging="0"/>
        <w:rPr>
          <w:rFonts w:ascii="Verdana" w:hAnsi="Verdana" w:eastAsia="Verdana" w:cs="Verdana"/>
          <w:color w:val="4472C4"/>
          <w:sz w:val="20"/>
          <w:szCs w:val="20"/>
        </w:rPr>
      </w:pPr>
      <w:r>
        <w:rPr>
          <w:rFonts w:eastAsia="Verdana" w:cs="Verdana" w:ascii="Verdana" w:hAnsi="Verdana"/>
          <w:color w:val="4472C4"/>
          <w:sz w:val="20"/>
          <w:szCs w:val="20"/>
        </w:rPr>
      </w:r>
    </w:p>
    <w:p>
      <w:pPr>
        <w:pStyle w:val="Normal"/>
        <w:spacing w:lineRule="auto" w:line="360" w:before="0" w:after="0"/>
        <w:rPr/>
      </w:pPr>
      <w:r>
        <w:rPr>
          <w:rFonts w:eastAsia="Verdana" w:cs="Verdana" w:ascii="Verdana" w:hAnsi="Verdana"/>
          <w:color w:val="4F81BD" w:themeColor="accent1"/>
          <w:sz w:val="20"/>
          <w:szCs w:val="20"/>
        </w:rPr>
        <w:t xml:space="preserve">New Zealand moved to </w:t>
      </w:r>
      <w:r>
        <w:rPr>
          <w:rFonts w:eastAsia="Verdana" w:cs="Verdana" w:ascii="Verdana" w:hAnsi="Verdana"/>
          <w:color w:val="FF8000"/>
          <w:sz w:val="20"/>
          <w:szCs w:val="20"/>
        </w:rPr>
        <w:t xml:space="preserve">Orange </w:t>
      </w:r>
      <w:r>
        <w:rPr>
          <w:rFonts w:eastAsia="Verdana" w:cs="Verdana" w:ascii="Verdana" w:hAnsi="Verdana"/>
          <w:color w:val="4F81BD" w:themeColor="accent1"/>
          <w:sz w:val="20"/>
          <w:szCs w:val="20"/>
        </w:rPr>
        <w:t xml:space="preserve">Traffic Light setting on 13 April 2022 under the COVID-19 Health Response (Protection Framework and Vaccination) Amendments Order 2022, </w:t>
      </w:r>
      <w:r>
        <w:fldChar w:fldCharType="begin"/>
      </w:r>
      <w:r>
        <w:rPr>
          <w:rStyle w:val="InternetLink"/>
          <w:sz w:val="20"/>
          <w:szCs w:val="20"/>
          <w:rFonts w:eastAsia="Verdana" w:cs="Verdana" w:ascii="Verdana" w:hAnsi="Verdana"/>
          <w:color w:val="4F81BD"/>
        </w:rPr>
        <w:instrText> HYPERLINK "https://www.legislation.govt.nz/regulation/public/2022/0089/latest/whole.html" \l "LMS67145"</w:instrText>
      </w:r>
      <w:r>
        <w:rPr>
          <w:rStyle w:val="InternetLink"/>
          <w:sz w:val="20"/>
          <w:szCs w:val="20"/>
          <w:rFonts w:eastAsia="Verdana" w:cs="Verdana" w:ascii="Verdana" w:hAnsi="Verdana"/>
          <w:color w:val="4F81BD"/>
        </w:rPr>
        <w:fldChar w:fldCharType="separate"/>
      </w:r>
      <w:r>
        <w:rPr>
          <w:rStyle w:val="InternetLink"/>
          <w:rFonts w:eastAsia="Verdana" w:cs="Verdana" w:ascii="Verdana" w:hAnsi="Verdana"/>
          <w:color w:val="4F81BD" w:themeColor="accent1"/>
          <w:sz w:val="20"/>
          <w:szCs w:val="20"/>
        </w:rPr>
        <w:t>https://www.legislation.govt.nz/regulation/public/2022/0089/latest/whole.html#LMS67145</w:t>
      </w:r>
      <w:r>
        <w:rPr>
          <w:rStyle w:val="InternetLink"/>
          <w:sz w:val="20"/>
          <w:szCs w:val="20"/>
          <w:rFonts w:eastAsia="Verdana" w:cs="Verdana" w:ascii="Verdana" w:hAnsi="Verdana"/>
          <w:color w:val="4F81BD"/>
        </w:rPr>
        <w:fldChar w:fldCharType="end"/>
      </w:r>
      <w:r>
        <w:fldChar w:fldCharType="begin"/>
      </w:r>
      <w:r>
        <w:rPr>
          <w:rStyle w:val="InternetLink"/>
          <w:sz w:val="20"/>
          <w:szCs w:val="20"/>
          <w:rFonts w:eastAsia="Verdana" w:cs="Verdana" w:ascii="Verdana" w:hAnsi="Verdana"/>
          <w:color w:val="4F81BD"/>
        </w:rPr>
        <w:instrText> HYPERLINK "https://www.legislation.govt.nz/regulation/public/2022/0089/latest/whole.html" \l "LMS671458"</w:instrText>
      </w:r>
      <w:r>
        <w:rPr>
          <w:rStyle w:val="InternetLink"/>
          <w:sz w:val="20"/>
          <w:szCs w:val="20"/>
          <w:rFonts w:eastAsia="Verdana" w:cs="Verdana" w:ascii="Verdana" w:hAnsi="Verdana"/>
          <w:color w:val="4F81BD"/>
        </w:rPr>
        <w:fldChar w:fldCharType="separate"/>
      </w:r>
      <w:r>
        <w:rPr>
          <w:rStyle w:val="InternetLink"/>
          <w:rFonts w:eastAsia="Verdana" w:cs="Verdana" w:ascii="Verdana" w:hAnsi="Verdana"/>
          <w:color w:val="4F81BD" w:themeColor="accent1"/>
          <w:sz w:val="20"/>
          <w:szCs w:val="20"/>
        </w:rPr>
        <w:t>8</w:t>
      </w:r>
      <w:r>
        <w:rPr>
          <w:rStyle w:val="InternetLink"/>
          <w:sz w:val="20"/>
          <w:szCs w:val="20"/>
          <w:rFonts w:eastAsia="Verdana" w:cs="Verdana" w:ascii="Verdana" w:hAnsi="Verdana"/>
          <w:color w:val="4F81BD"/>
        </w:rPr>
        <w:fldChar w:fldCharType="end"/>
      </w:r>
      <w:r>
        <w:rPr>
          <w:rFonts w:eastAsia="Verdana" w:cs="Verdana" w:ascii="Verdana" w:hAnsi="Verdana"/>
          <w:color w:val="4F81BD" w:themeColor="accent1"/>
          <w:sz w:val="20"/>
          <w:szCs w:val="20"/>
        </w:rPr>
        <w:t xml:space="preserve"> relevant to masks, this updated the COVID-19 Health Response (Protection Framework) Order 2021 (</w:t>
      </w:r>
      <w:r>
        <w:rPr>
          <w:rFonts w:eastAsia="Verdana" w:cs="Verdana" w:ascii="Verdana" w:hAnsi="Verdana"/>
          <w:b/>
          <w:bCs/>
          <w:color w:val="4F81BD" w:themeColor="accent1"/>
          <w:sz w:val="20"/>
          <w:szCs w:val="20"/>
        </w:rPr>
        <w:t>Orders</w:t>
      </w:r>
      <w:r>
        <w:rPr>
          <w:rFonts w:eastAsia="Verdana" w:cs="Verdana" w:ascii="Verdana" w:hAnsi="Verdana"/>
          <w:color w:val="4F81BD" w:themeColor="accent1"/>
          <w:sz w:val="20"/>
          <w:szCs w:val="20"/>
        </w:rPr>
        <w:t xml:space="preserve">) </w:t>
      </w:r>
      <w:r>
        <w:fldChar w:fldCharType="begin"/>
      </w:r>
      <w:r>
        <w:rPr>
          <w:rStyle w:val="InternetLink"/>
          <w:sz w:val="20"/>
          <w:szCs w:val="20"/>
          <w:rFonts w:eastAsia="Verdana" w:cs="Verdana" w:ascii="Verdana" w:hAnsi="Verdana"/>
          <w:color w:val="4F81BD"/>
        </w:rPr>
        <w:instrText> HYPERLINK "https://www.legislation.govt.nz/regulation/public/2021/0386/latest/whole.html" \l "LMS599185"</w:instrText>
      </w:r>
      <w:r>
        <w:rPr>
          <w:rStyle w:val="InternetLink"/>
          <w:sz w:val="20"/>
          <w:szCs w:val="20"/>
          <w:rFonts w:eastAsia="Verdana" w:cs="Verdana" w:ascii="Verdana" w:hAnsi="Verdana"/>
          <w:color w:val="4F81BD"/>
        </w:rPr>
        <w:fldChar w:fldCharType="separate"/>
      </w:r>
      <w:r>
        <w:rPr>
          <w:rStyle w:val="InternetLink"/>
          <w:rFonts w:eastAsia="Verdana" w:cs="Verdana" w:ascii="Verdana" w:hAnsi="Verdana"/>
          <w:color w:val="4F81BD" w:themeColor="accent1"/>
          <w:sz w:val="20"/>
          <w:szCs w:val="20"/>
        </w:rPr>
        <w:t>https://www.legislation.govt.nz/regulation/public/2021/0386/latest/whole.html#LMS599185</w:t>
      </w:r>
      <w:r>
        <w:rPr>
          <w:rStyle w:val="InternetLink"/>
          <w:sz w:val="20"/>
          <w:szCs w:val="20"/>
          <w:rFonts w:eastAsia="Verdana" w:cs="Verdana" w:ascii="Verdana" w:hAnsi="Verdana"/>
          <w:color w:val="4F81BD"/>
        </w:rPr>
        <w:fldChar w:fldCharType="end"/>
      </w:r>
      <w:r>
        <w:rPr>
          <w:rFonts w:eastAsia="Verdana" w:cs="Verdana" w:ascii="Verdana" w:hAnsi="Verdana"/>
          <w:color w:val="4F81BD" w:themeColor="accent1"/>
          <w:sz w:val="20"/>
          <w:szCs w:val="20"/>
        </w:rPr>
        <w:t xml:space="preserve">. </w:t>
      </w:r>
    </w:p>
    <w:p>
      <w:pPr>
        <w:pStyle w:val="Normal"/>
        <w:spacing w:lineRule="auto" w:line="360" w:before="0" w:after="0"/>
        <w:rPr>
          <w:rFonts w:ascii="Verdana" w:hAnsi="Verdana" w:eastAsia="Verdana" w:cs="Verdana"/>
          <w:color w:val="4F81BD" w:themeColor="accent1"/>
          <w:sz w:val="20"/>
          <w:szCs w:val="20"/>
        </w:rPr>
      </w:pPr>
      <w:r>
        <w:rPr>
          <w:rFonts w:eastAsia="Verdana" w:cs="Verdana" w:ascii="Verdana" w:hAnsi="Verdana"/>
          <w:color w:val="4F81BD" w:themeColor="accent1"/>
          <w:sz w:val="20"/>
          <w:szCs w:val="20"/>
        </w:rPr>
      </w:r>
    </w:p>
    <w:p>
      <w:pPr>
        <w:pStyle w:val="Normal"/>
        <w:spacing w:lineRule="auto" w:line="360" w:before="0" w:after="0"/>
        <w:rPr>
          <w:rFonts w:ascii="Verdana" w:hAnsi="Verdana" w:eastAsia="Verdana" w:cs="Verdana"/>
          <w:color w:val="4472C4"/>
          <w:sz w:val="20"/>
          <w:szCs w:val="20"/>
        </w:rPr>
      </w:pPr>
      <w:r>
        <w:rPr>
          <w:rFonts w:eastAsia="Verdana" w:cs="Verdana" w:ascii="Verdana" w:hAnsi="Verdana"/>
          <w:color w:val="4F81BD" w:themeColor="accent1"/>
          <w:sz w:val="20"/>
          <w:szCs w:val="20"/>
        </w:rPr>
        <w:t>The Orders change regularly - for the latest orders see: .</w:t>
      </w:r>
      <w:hyperlink r:id="rId5">
        <w:r>
          <w:rPr>
            <w:rStyle w:val="InternetLink"/>
            <w:rFonts w:eastAsia="Verdana" w:cs="Verdana" w:ascii="Verdana" w:hAnsi="Verdana"/>
            <w:color w:val="4F81BD" w:themeColor="accent1"/>
            <w:sz w:val="20"/>
            <w:szCs w:val="20"/>
          </w:rPr>
          <w:t>https://covid19.govt.nz/about-our-covid-19-response/legislation-and-key-documents/</w:t>
        </w:r>
      </w:hyperlink>
      <w:r>
        <w:rPr>
          <w:rFonts w:eastAsia="Verdana" w:cs="Verdana" w:ascii="Verdana" w:hAnsi="Verdana"/>
          <w:color w:val="4F81BD" w:themeColor="accent1"/>
          <w:sz w:val="20"/>
          <w:szCs w:val="20"/>
        </w:rPr>
        <w:t xml:space="preserve"> </w:t>
      </w:r>
    </w:p>
    <w:p>
      <w:pPr>
        <w:pStyle w:val="LOnormal"/>
        <w:spacing w:lineRule="auto" w:line="360" w:before="0" w:after="0"/>
        <w:ind w:left="720" w:hanging="0"/>
        <w:rPr>
          <w:rFonts w:ascii="Verdana" w:hAnsi="Verdana" w:eastAsia="Verdana" w:cs="Verdana"/>
          <w:color w:val="4472C4"/>
          <w:sz w:val="20"/>
          <w:szCs w:val="20"/>
        </w:rPr>
      </w:pPr>
      <w:r>
        <w:rPr>
          <w:rFonts w:eastAsia="Verdana" w:cs="Verdana" w:ascii="Verdana" w:hAnsi="Verdana"/>
          <w:color w:val="4472C4"/>
          <w:sz w:val="20"/>
          <w:szCs w:val="20"/>
        </w:rPr>
      </w:r>
    </w:p>
    <w:p>
      <w:pPr>
        <w:pStyle w:val="Normal"/>
        <w:spacing w:lineRule="auto" w:line="360" w:before="0" w:after="0"/>
        <w:rPr>
          <w:sz w:val="20"/>
          <w:szCs w:val="20"/>
        </w:rPr>
      </w:pPr>
      <w:r>
        <w:rPr>
          <w:rFonts w:eastAsia="Verdana" w:cs="Verdana" w:ascii="Verdana" w:hAnsi="Verdana"/>
          <w:color w:val="4472C4"/>
          <w:sz w:val="20"/>
          <w:szCs w:val="20"/>
        </w:rPr>
        <w:t>Under the Orders:</w:t>
      </w:r>
    </w:p>
    <w:p>
      <w:pPr>
        <w:pStyle w:val="LOnormal"/>
        <w:numPr>
          <w:ilvl w:val="0"/>
          <w:numId w:val="5"/>
        </w:numPr>
        <w:spacing w:lineRule="auto" w:line="360" w:before="170" w:after="170"/>
        <w:rPr>
          <w:rFonts w:ascii="Verdana" w:hAnsi="Verdana" w:eastAsia="Verdana" w:cs="Verdana"/>
          <w:color w:val="4472C4"/>
          <w:sz w:val="20"/>
          <w:szCs w:val="20"/>
        </w:rPr>
      </w:pPr>
      <w:r>
        <w:rPr>
          <w:rFonts w:eastAsia="Verdana" w:cs="Verdana" w:ascii="Verdana" w:hAnsi="Verdana"/>
          <w:color w:val="4472C4"/>
          <w:sz w:val="20"/>
          <w:szCs w:val="20"/>
        </w:rPr>
        <w:t>Masks</w:t>
      </w:r>
      <w:r>
        <w:rPr>
          <w:rStyle w:val="FootnoteAnchor"/>
          <w:rFonts w:eastAsia="Verdana" w:cs="Verdana" w:ascii="Verdana" w:hAnsi="Verdana"/>
          <w:color w:val="4472C4"/>
          <w:sz w:val="20"/>
          <w:szCs w:val="20"/>
        </w:rPr>
        <w:footnoteReference w:id="2"/>
      </w:r>
      <w:r>
        <w:rPr>
          <w:rFonts w:eastAsia="Verdana" w:cs="Verdana" w:ascii="Verdana" w:hAnsi="Verdana"/>
          <w:color w:val="4472C4"/>
          <w:sz w:val="20"/>
          <w:szCs w:val="20"/>
        </w:rPr>
        <w:t xml:space="preserve"> are to be worn on transport including school transport, arrival and departure points for public transport, retail businesses or services, public facilities (excluding swimming pools), pharmacies, vet services, a court or tribunal, a specified social service, NZ post, government agencies, health premises (but not a patient), workers at a gathering.</w:t>
      </w:r>
      <w:r>
        <w:rPr>
          <w:rStyle w:val="FootnoteAnchor"/>
          <w:rFonts w:eastAsia="Verdana" w:cs="Verdana" w:ascii="Verdana" w:hAnsi="Verdana"/>
          <w:color w:val="4472C4"/>
          <w:sz w:val="20"/>
          <w:szCs w:val="20"/>
        </w:rPr>
        <w:footnoteReference w:id="3"/>
      </w:r>
    </w:p>
    <w:p>
      <w:pPr>
        <w:pStyle w:val="LOnormal"/>
        <w:spacing w:lineRule="auto" w:line="360" w:before="170" w:after="170"/>
        <w:ind w:left="720" w:hanging="0"/>
        <w:rPr>
          <w:rFonts w:ascii="Verdana" w:hAnsi="Verdana" w:eastAsia="Verdana" w:cs="Verdana"/>
          <w:color w:val="4472C4"/>
          <w:sz w:val="20"/>
          <w:szCs w:val="20"/>
        </w:rPr>
      </w:pPr>
      <w:r>
        <w:rPr>
          <w:rFonts w:eastAsia="Verdana" w:cs="Verdana" w:ascii="Verdana" w:hAnsi="Verdana"/>
          <w:color w:val="4472C4"/>
          <w:sz w:val="20"/>
          <w:szCs w:val="20"/>
        </w:rPr>
      </w:r>
    </w:p>
    <w:p>
      <w:pPr>
        <w:pStyle w:val="LOnormal"/>
        <w:numPr>
          <w:ilvl w:val="0"/>
          <w:numId w:val="5"/>
        </w:numPr>
        <w:spacing w:lineRule="auto" w:line="360" w:before="170" w:after="170"/>
        <w:rPr>
          <w:color w:val="4472C4"/>
        </w:rPr>
      </w:pPr>
      <w:r>
        <w:rPr>
          <w:rFonts w:eastAsia="Verdana" w:cs="Verdana" w:ascii="Verdana" w:hAnsi="Verdana"/>
          <w:color w:val="4472C4"/>
          <w:sz w:val="20"/>
          <w:szCs w:val="20"/>
        </w:rPr>
        <w:t>Medical-grade face coverings</w:t>
      </w:r>
      <w:r>
        <w:rPr>
          <w:rStyle w:val="FootnoteAnchor"/>
          <w:rFonts w:eastAsia="Verdana" w:cs="Verdana" w:ascii="Verdana" w:hAnsi="Verdana"/>
          <w:color w:val="4472C4"/>
          <w:sz w:val="20"/>
          <w:szCs w:val="20"/>
        </w:rPr>
        <w:footnoteReference w:id="4"/>
      </w:r>
      <w:r>
        <w:rPr>
          <w:rFonts w:eastAsia="Verdana" w:cs="Verdana" w:ascii="Verdana" w:hAnsi="Verdana"/>
          <w:color w:val="4472C4"/>
          <w:sz w:val="20"/>
          <w:szCs w:val="20"/>
        </w:rPr>
        <w:t xml:space="preserve"> to be worn by worker at a food or drink business, close proximity business, event worker, or vaccine mandated worker (</w:t>
      </w:r>
      <w:r>
        <w:rPr>
          <w:rFonts w:eastAsia="Verdana" w:cs="Verdana" w:ascii="Verdana" w:hAnsi="Verdana"/>
          <w:color w:val="4472C4"/>
          <w:kern w:val="0"/>
          <w:sz w:val="20"/>
          <w:szCs w:val="20"/>
          <w:lang w:val="en-NZ" w:eastAsia="zh-CN" w:bidi="hi-IN"/>
        </w:rPr>
        <w:t>health care</w:t>
      </w:r>
      <w:r>
        <w:rPr>
          <w:rFonts w:eastAsia="Verdana" w:cs="Verdana" w:ascii="Verdana" w:hAnsi="Verdana"/>
          <w:color w:val="4472C4"/>
          <w:sz w:val="20"/>
          <w:szCs w:val="20"/>
        </w:rPr>
        <w:t xml:space="preserve"> workers).</w:t>
      </w:r>
      <w:r>
        <w:rPr>
          <w:rStyle w:val="FootnoteAnchor"/>
          <w:rFonts w:eastAsia="Verdana" w:cs="Verdana" w:ascii="Verdana" w:hAnsi="Verdana"/>
          <w:color w:val="4472C4"/>
          <w:sz w:val="20"/>
          <w:szCs w:val="20"/>
        </w:rPr>
        <w:footnoteReference w:id="5"/>
      </w:r>
    </w:p>
    <w:p>
      <w:pPr>
        <w:pStyle w:val="LOnormal"/>
        <w:numPr>
          <w:ilvl w:val="0"/>
          <w:numId w:val="5"/>
        </w:numPr>
        <w:spacing w:lineRule="auto" w:line="360" w:before="170" w:after="170"/>
        <w:rPr>
          <w:color w:val="4472C4"/>
        </w:rPr>
      </w:pPr>
      <w:r>
        <w:rPr>
          <w:rFonts w:eastAsia="Verdana" w:cs="Verdana" w:ascii="Verdana" w:hAnsi="Verdana"/>
          <w:color w:val="4472C4"/>
          <w:sz w:val="20"/>
          <w:szCs w:val="20"/>
        </w:rPr>
        <w:t>You are not required to wear a face mask at outdoors setting and in non-public facing workplaces. However, employers can apply their own policies on wearing a face mask.</w:t>
      </w:r>
      <w:r>
        <w:rPr>
          <w:rStyle w:val="FootnoteAnchor"/>
          <w:rFonts w:eastAsia="Verdana" w:cs="Verdana" w:ascii="Verdana" w:hAnsi="Verdana"/>
          <w:color w:val="4472C4"/>
          <w:sz w:val="20"/>
          <w:szCs w:val="20"/>
        </w:rPr>
        <w:footnoteReference w:id="6"/>
      </w:r>
      <w:r>
        <w:rPr>
          <w:rFonts w:eastAsia="Verdana" w:cs="Verdana" w:ascii="Verdana" w:hAnsi="Verdana"/>
          <w:color w:val="4472C4"/>
          <w:sz w:val="20"/>
          <w:szCs w:val="20"/>
        </w:rPr>
        <w:t xml:space="preserve">  A good response to any employer policy is: if the public health response doesn’t require it then the employer will need to provide good grounds for justifying it.</w:t>
      </w:r>
    </w:p>
    <w:p>
      <w:pPr>
        <w:pStyle w:val="LOnormal"/>
        <w:numPr>
          <w:ilvl w:val="0"/>
          <w:numId w:val="5"/>
        </w:numPr>
        <w:spacing w:lineRule="auto" w:line="360" w:before="170" w:after="170"/>
        <w:rPr>
          <w:rFonts w:ascii="Verdana" w:hAnsi="Verdana" w:eastAsia="Verdana" w:cs="Verdana"/>
          <w:color w:val="4472C4"/>
          <w:sz w:val="20"/>
          <w:szCs w:val="20"/>
        </w:rPr>
      </w:pPr>
      <w:r>
        <w:rPr>
          <w:rFonts w:eastAsia="Verdana" w:cs="Verdana" w:ascii="Verdana" w:hAnsi="Verdana"/>
          <w:color w:val="4472C4"/>
          <w:sz w:val="20"/>
          <w:szCs w:val="20"/>
        </w:rPr>
        <w:t>Exemptions from wearing both face coverings and medical-grade face coverings are the same – they are self-governing (no exemption card or communication card is required) and arise where a person has a condition or disability that makes it unsafe, difficult or not possible to wear a face covering (clause 11(4) of the Orders).</w:t>
      </w:r>
    </w:p>
    <w:p>
      <w:pPr>
        <w:pStyle w:val="LOnormal"/>
        <w:numPr>
          <w:ilvl w:val="0"/>
          <w:numId w:val="5"/>
        </w:numPr>
        <w:spacing w:lineRule="auto" w:line="360" w:before="170" w:after="170"/>
        <w:rPr>
          <w:rFonts w:ascii="Verdana" w:hAnsi="Verdana" w:eastAsia="Verdana" w:cs="Verdana"/>
          <w:color w:val="4472C4"/>
          <w:sz w:val="20"/>
          <w:szCs w:val="20"/>
        </w:rPr>
      </w:pPr>
      <w:r>
        <w:rPr>
          <w:rFonts w:eastAsia="Verdana" w:cs="Verdana" w:ascii="Verdana" w:hAnsi="Verdana"/>
          <w:color w:val="4472C4"/>
          <w:sz w:val="20"/>
          <w:szCs w:val="20"/>
        </w:rPr>
        <w:t>However, if you wish to have written confirmation of your exemption, the new MOH personalised mask exemption is recognised at law (clause 106A and clause 11(3)(l) of the Orders).</w:t>
      </w:r>
    </w:p>
    <w:p>
      <w:pPr>
        <w:pStyle w:val="LOnormal"/>
        <w:spacing w:lineRule="auto" w:line="360" w:before="0" w:after="0"/>
        <w:ind w:left="720" w:hanging="0"/>
        <w:rPr>
          <w:rFonts w:ascii="Verdana" w:hAnsi="Verdana" w:eastAsia="Verdana" w:cs="Verdana"/>
          <w:color w:val="4472C4"/>
          <w:sz w:val="20"/>
          <w:szCs w:val="20"/>
        </w:rPr>
      </w:pPr>
      <w:r>
        <w:rPr>
          <w:rFonts w:eastAsia="Verdana" w:cs="Verdana" w:ascii="Verdana" w:hAnsi="Verdana"/>
          <w:color w:val="4472C4"/>
          <w:sz w:val="20"/>
          <w:szCs w:val="20"/>
        </w:rPr>
      </w:r>
    </w:p>
    <w:p>
      <w:pPr>
        <w:pStyle w:val="LOnormal"/>
        <w:spacing w:lineRule="auto" w:line="360" w:before="0" w:after="0"/>
        <w:rPr>
          <w:rFonts w:ascii="Verdana" w:hAnsi="Verdana" w:eastAsia="Verdana" w:cs="Verdana"/>
          <w:b/>
          <w:b/>
          <w:i/>
          <w:i/>
          <w:color w:val="4472C4"/>
          <w:sz w:val="20"/>
          <w:szCs w:val="20"/>
        </w:rPr>
      </w:pPr>
      <w:r>
        <w:rPr>
          <w:rFonts w:eastAsia="Verdana" w:cs="Verdana" w:ascii="Verdana" w:hAnsi="Verdana"/>
          <w:b/>
          <w:i/>
          <w:color w:val="4472C4"/>
          <w:sz w:val="20"/>
          <w:szCs w:val="20"/>
        </w:rPr>
        <w:t>What is an essential business?</w:t>
      </w:r>
    </w:p>
    <w:p>
      <w:pPr>
        <w:pStyle w:val="LOnormal"/>
        <w:spacing w:lineRule="auto" w:line="360" w:before="0" w:after="0"/>
        <w:ind w:left="720" w:hanging="0"/>
        <w:rPr>
          <w:rFonts w:ascii="Verdana" w:hAnsi="Verdana" w:eastAsia="Verdana" w:cs="Verdana"/>
          <w:color w:val="4472C4"/>
          <w:sz w:val="20"/>
          <w:szCs w:val="20"/>
        </w:rPr>
      </w:pPr>
      <w:r>
        <w:rPr>
          <w:rFonts w:eastAsia="Verdana" w:cs="Verdana" w:ascii="Verdana" w:hAnsi="Verdana"/>
          <w:color w:val="4472C4"/>
          <w:sz w:val="20"/>
          <w:szCs w:val="20"/>
        </w:rPr>
      </w:r>
    </w:p>
    <w:p>
      <w:pPr>
        <w:pStyle w:val="LOnormal"/>
        <w:spacing w:lineRule="auto" w:line="360" w:before="0" w:after="0"/>
        <w:rPr>
          <w:rFonts w:ascii="Verdana" w:hAnsi="Verdana" w:eastAsia="Verdana" w:cs="Verdana"/>
          <w:color w:val="4472C4"/>
          <w:sz w:val="20"/>
          <w:szCs w:val="20"/>
        </w:rPr>
      </w:pPr>
      <w:r>
        <w:rPr>
          <w:rFonts w:eastAsia="Verdana" w:cs="Verdana" w:ascii="Verdana" w:hAnsi="Verdana"/>
          <w:color w:val="4472C4"/>
          <w:sz w:val="20"/>
          <w:szCs w:val="20"/>
        </w:rPr>
        <w:t xml:space="preserve">For the purposes of this letter, an </w:t>
      </w:r>
      <w:r>
        <w:rPr>
          <w:rFonts w:eastAsia="Verdana" w:cs="Verdana" w:ascii="Verdana" w:hAnsi="Verdana"/>
          <w:b/>
          <w:color w:val="4472C4"/>
          <w:sz w:val="20"/>
          <w:szCs w:val="20"/>
        </w:rPr>
        <w:t>essential business</w:t>
      </w:r>
      <w:r>
        <w:rPr>
          <w:rFonts w:eastAsia="Verdana" w:cs="Verdana" w:ascii="Verdana" w:hAnsi="Verdana"/>
          <w:color w:val="4472C4"/>
          <w:sz w:val="20"/>
          <w:szCs w:val="20"/>
        </w:rPr>
        <w:t xml:space="preserve"> is a business or service the Government has assessed as supplying necessities and is able to be open under any Traffic Light system, whether at </w:t>
      </w:r>
      <w:r>
        <w:rPr>
          <w:rFonts w:eastAsia="Verdana" w:cs="Verdana" w:ascii="Verdana" w:hAnsi="Verdana"/>
          <w:color w:val="C00000"/>
          <w:sz w:val="20"/>
          <w:szCs w:val="20"/>
        </w:rPr>
        <w:t xml:space="preserve">RED, </w:t>
      </w:r>
      <w:r>
        <w:rPr>
          <w:rFonts w:eastAsia="Verdana" w:cs="Verdana" w:ascii="Verdana" w:hAnsi="Verdana"/>
          <w:color w:val="FF0000"/>
          <w:sz w:val="20"/>
          <w:szCs w:val="20"/>
        </w:rPr>
        <w:t xml:space="preserve">ORANGE </w:t>
      </w:r>
      <w:r>
        <w:rPr>
          <w:rFonts w:eastAsia="Verdana" w:cs="Verdana" w:ascii="Verdana" w:hAnsi="Verdana"/>
          <w:color w:val="4472C4"/>
          <w:sz w:val="20"/>
          <w:szCs w:val="20"/>
        </w:rPr>
        <w:t>or</w:t>
      </w:r>
      <w:r>
        <w:rPr>
          <w:rFonts w:eastAsia="Verdana" w:cs="Verdana" w:ascii="Verdana" w:hAnsi="Verdana"/>
          <w:color w:val="FF0000"/>
          <w:sz w:val="20"/>
          <w:szCs w:val="20"/>
        </w:rPr>
        <w:t xml:space="preserve"> </w:t>
      </w:r>
      <w:r>
        <w:rPr>
          <w:rFonts w:eastAsia="Verdana" w:cs="Verdana" w:ascii="Verdana" w:hAnsi="Verdana"/>
          <w:color w:val="92D050"/>
          <w:sz w:val="20"/>
          <w:szCs w:val="20"/>
        </w:rPr>
        <w:t>GREEN</w:t>
      </w:r>
      <w:r>
        <w:rPr>
          <w:rFonts w:eastAsia="Verdana" w:cs="Verdana" w:ascii="Verdana" w:hAnsi="Verdana"/>
          <w:color w:val="4472C4"/>
          <w:sz w:val="20"/>
          <w:szCs w:val="20"/>
        </w:rPr>
        <w:t>.  Those businesses are set out in the current COVID-19 Public Health Response (Protection Framework) Order 2021 (</w:t>
      </w:r>
      <w:r>
        <w:rPr>
          <w:rFonts w:eastAsia="Verdana" w:cs="Verdana" w:ascii="Verdana" w:hAnsi="Verdana"/>
          <w:b/>
          <w:color w:val="4472C4"/>
          <w:sz w:val="20"/>
          <w:szCs w:val="20"/>
        </w:rPr>
        <w:t>Traffic Light Order</w:t>
      </w:r>
      <w:r>
        <w:rPr>
          <w:rFonts w:eastAsia="Verdana" w:cs="Verdana" w:ascii="Verdana" w:hAnsi="Verdana"/>
          <w:color w:val="4472C4"/>
          <w:sz w:val="20"/>
          <w:szCs w:val="20"/>
        </w:rPr>
        <w:t xml:space="preserve">).  Order 2021 (the Order) Schedule 2 and includes supermarkets, petrol stations and necessities for life.  </w:t>
      </w:r>
    </w:p>
    <w:p>
      <w:pPr>
        <w:pStyle w:val="LOnormal"/>
        <w:spacing w:lineRule="auto" w:line="360" w:before="0" w:after="0"/>
        <w:rPr>
          <w:rFonts w:ascii="Verdana" w:hAnsi="Verdana" w:eastAsia="Verdana" w:cs="Verdana"/>
          <w:color w:val="4472C4"/>
          <w:sz w:val="20"/>
          <w:szCs w:val="20"/>
        </w:rPr>
      </w:pPr>
      <w:r>
        <w:rPr>
          <w:rFonts w:eastAsia="Verdana" w:cs="Verdana" w:ascii="Verdana" w:hAnsi="Verdana"/>
          <w:color w:val="4472C4"/>
          <w:sz w:val="20"/>
          <w:szCs w:val="20"/>
        </w:rPr>
      </w:r>
    </w:p>
    <w:p>
      <w:pPr>
        <w:pStyle w:val="LOnormal"/>
        <w:spacing w:lineRule="auto" w:line="360" w:before="0" w:after="0"/>
        <w:rPr>
          <w:rFonts w:ascii="Verdana" w:hAnsi="Verdana" w:eastAsia="Verdana" w:cs="Verdana"/>
          <w:b/>
          <w:b/>
          <w:i/>
          <w:i/>
          <w:color w:val="4472C4"/>
          <w:sz w:val="20"/>
          <w:szCs w:val="20"/>
        </w:rPr>
      </w:pPr>
      <w:r>
        <w:rPr>
          <w:rFonts w:eastAsia="Verdana" w:cs="Verdana" w:ascii="Verdana" w:hAnsi="Verdana"/>
          <w:b/>
          <w:i/>
          <w:color w:val="4472C4"/>
          <w:sz w:val="20"/>
          <w:szCs w:val="20"/>
        </w:rPr>
        <w:t>What is a face covering?</w:t>
      </w:r>
    </w:p>
    <w:p>
      <w:pPr>
        <w:pStyle w:val="LOnormal"/>
        <w:spacing w:lineRule="auto" w:line="360" w:before="0" w:after="0"/>
        <w:rPr>
          <w:rFonts w:ascii="Verdana" w:hAnsi="Verdana" w:eastAsia="Verdana" w:cs="Verdana"/>
          <w:b/>
          <w:b/>
          <w:i/>
          <w:i/>
          <w:color w:val="4472C4"/>
          <w:sz w:val="20"/>
          <w:szCs w:val="20"/>
        </w:rPr>
      </w:pPr>
      <w:r>
        <w:rPr>
          <w:rFonts w:eastAsia="Verdana" w:cs="Verdana" w:ascii="Verdana" w:hAnsi="Verdana"/>
          <w:b/>
          <w:i/>
          <w:color w:val="4472C4"/>
          <w:sz w:val="20"/>
          <w:szCs w:val="20"/>
        </w:rPr>
      </w:r>
    </w:p>
    <w:p>
      <w:pPr>
        <w:pStyle w:val="LOnormal"/>
        <w:spacing w:lineRule="auto" w:line="360" w:before="0" w:after="0"/>
        <w:rPr/>
      </w:pPr>
      <w:r>
        <w:rPr>
          <w:rFonts w:eastAsia="Verdana" w:cs="Verdana" w:ascii="Verdana" w:hAnsi="Verdana"/>
          <w:color w:val="4472C4"/>
          <w:sz w:val="20"/>
          <w:szCs w:val="20"/>
        </w:rPr>
        <w:t>A “face covering” does not mean a specific type of mask or a medical mask. Face covering is defined in clause 5 of the Order:</w:t>
      </w:r>
    </w:p>
    <w:p>
      <w:pPr>
        <w:pStyle w:val="LOnormal"/>
        <w:spacing w:lineRule="auto" w:line="360" w:before="0" w:after="0"/>
        <w:rPr>
          <w:rFonts w:ascii="Verdana" w:hAnsi="Verdana" w:eastAsia="Verdana" w:cs="Verdana"/>
          <w:b/>
          <w:b/>
          <w:i/>
          <w:i/>
          <w:color w:val="4472C4"/>
          <w:sz w:val="20"/>
          <w:szCs w:val="20"/>
        </w:rPr>
      </w:pPr>
      <w:r>
        <w:rPr>
          <w:rFonts w:eastAsia="Verdana" w:cs="Verdana" w:ascii="Verdana" w:hAnsi="Verdana"/>
          <w:b/>
          <w:i/>
          <w:color w:val="4472C4"/>
          <w:sz w:val="20"/>
          <w:szCs w:val="20"/>
        </w:rPr>
        <w:drawing>
          <wp:anchor behindDoc="0" distT="0" distB="0" distL="0" distR="0" simplePos="0" locked="0" layoutInCell="1" allowOverlap="1" relativeHeight="2">
            <wp:simplePos x="0" y="0"/>
            <wp:positionH relativeFrom="column">
              <wp:posOffset>863600</wp:posOffset>
            </wp:positionH>
            <wp:positionV relativeFrom="paragraph">
              <wp:posOffset>635</wp:posOffset>
            </wp:positionV>
            <wp:extent cx="3039745" cy="537210"/>
            <wp:effectExtent l="0" t="0" r="0" b="0"/>
            <wp:wrapSquare wrapText="largest"/>
            <wp:docPr id="3" name="Image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4" descr=""/>
                    <pic:cNvPicPr>
                      <a:picLocks noChangeAspect="1" noChangeArrowheads="1"/>
                    </pic:cNvPicPr>
                  </pic:nvPicPr>
                  <pic:blipFill>
                    <a:blip r:embed="rId6"/>
                    <a:stretch>
                      <a:fillRect/>
                    </a:stretch>
                  </pic:blipFill>
                  <pic:spPr bwMode="auto">
                    <a:xfrm>
                      <a:off x="0" y="0"/>
                      <a:ext cx="3039745" cy="537210"/>
                    </a:xfrm>
                    <a:prstGeom prst="rect">
                      <a:avLst/>
                    </a:prstGeom>
                  </pic:spPr>
                </pic:pic>
              </a:graphicData>
            </a:graphic>
          </wp:anchor>
        </w:drawing>
      </w:r>
    </w:p>
    <w:p>
      <w:pPr>
        <w:pStyle w:val="LOnormal"/>
        <w:spacing w:lineRule="auto" w:line="360" w:before="0" w:after="0"/>
        <w:rPr>
          <w:rFonts w:ascii="Verdana" w:hAnsi="Verdana" w:eastAsia="Verdana" w:cs="Verdana"/>
          <w:b/>
          <w:b/>
          <w:i/>
          <w:i/>
          <w:color w:val="4472C4"/>
          <w:sz w:val="20"/>
          <w:szCs w:val="20"/>
        </w:rPr>
      </w:pPr>
      <w:r>
        <w:rPr>
          <w:rFonts w:eastAsia="Verdana" w:cs="Verdana" w:ascii="Verdana" w:hAnsi="Verdana"/>
          <w:b/>
          <w:i/>
          <w:color w:val="4472C4"/>
          <w:sz w:val="20"/>
          <w:szCs w:val="20"/>
        </w:rPr>
      </w:r>
    </w:p>
    <w:p>
      <w:pPr>
        <w:pStyle w:val="LOnormal"/>
        <w:spacing w:lineRule="auto" w:line="360" w:before="0" w:after="0"/>
        <w:rPr>
          <w:rFonts w:ascii="Verdana" w:hAnsi="Verdana" w:eastAsia="Verdana" w:cs="Verdana"/>
          <w:b/>
          <w:b/>
          <w:i/>
          <w:i/>
          <w:color w:val="4472C4"/>
          <w:sz w:val="20"/>
          <w:szCs w:val="20"/>
        </w:rPr>
      </w:pPr>
      <w:r>
        <w:rPr>
          <w:rFonts w:eastAsia="Verdana" w:cs="Verdana" w:ascii="Verdana" w:hAnsi="Verdana"/>
          <w:b/>
          <w:i/>
          <w:color w:val="4472C4"/>
          <w:sz w:val="20"/>
          <w:szCs w:val="20"/>
        </w:rPr>
      </w:r>
    </w:p>
    <w:p>
      <w:pPr>
        <w:pStyle w:val="LOnormal"/>
        <w:spacing w:lineRule="auto" w:line="360" w:before="0" w:after="0"/>
        <w:rPr>
          <w:rFonts w:ascii="Verdana" w:hAnsi="Verdana" w:eastAsia="Verdana" w:cs="Verdana"/>
          <w:b/>
          <w:b/>
          <w:i/>
          <w:i/>
          <w:color w:val="4472C4"/>
          <w:sz w:val="20"/>
          <w:szCs w:val="20"/>
        </w:rPr>
      </w:pPr>
      <w:r>
        <w:rPr>
          <w:rFonts w:eastAsia="Verdana" w:cs="Verdana" w:ascii="Verdana" w:hAnsi="Verdana"/>
          <w:b/>
          <w:i/>
          <w:color w:val="4472C4"/>
          <w:sz w:val="20"/>
          <w:szCs w:val="20"/>
        </w:rPr>
      </w:r>
    </w:p>
    <w:p>
      <w:pPr>
        <w:pStyle w:val="LOnormal"/>
        <w:spacing w:lineRule="auto" w:line="360" w:before="0" w:after="0"/>
        <w:rPr>
          <w:rFonts w:ascii="Verdana" w:hAnsi="Verdana" w:eastAsia="Verdana" w:cs="Verdana"/>
          <w:b/>
          <w:b/>
          <w:i/>
          <w:i/>
          <w:color w:val="4472C4"/>
          <w:sz w:val="20"/>
          <w:szCs w:val="20"/>
        </w:rPr>
      </w:pPr>
      <w:r>
        <w:rPr>
          <w:rFonts w:eastAsia="Verdana" w:cs="Verdana" w:ascii="Verdana" w:hAnsi="Verdana"/>
          <w:b/>
          <w:i/>
          <w:color w:val="4472C4"/>
          <w:sz w:val="20"/>
          <w:szCs w:val="20"/>
        </w:rPr>
        <w:t>What are exemptions from wearing face coverings?</w:t>
      </w:r>
    </w:p>
    <w:p>
      <w:pPr>
        <w:pStyle w:val="LOnormal"/>
        <w:spacing w:lineRule="auto" w:line="360" w:before="0" w:after="0"/>
        <w:ind w:left="720" w:hanging="0"/>
        <w:rPr>
          <w:rFonts w:ascii="Verdana" w:hAnsi="Verdana" w:eastAsia="Verdana" w:cs="Verdana"/>
          <w:color w:val="4472C4"/>
          <w:sz w:val="20"/>
          <w:szCs w:val="20"/>
        </w:rPr>
      </w:pPr>
      <w:r>
        <w:rPr>
          <w:rFonts w:eastAsia="Verdana" w:cs="Verdana" w:ascii="Verdana" w:hAnsi="Verdana"/>
          <w:color w:val="4472C4"/>
          <w:sz w:val="20"/>
          <w:szCs w:val="20"/>
        </w:rPr>
      </w:r>
    </w:p>
    <w:p>
      <w:pPr>
        <w:pStyle w:val="LOnormal"/>
        <w:spacing w:lineRule="auto" w:line="360" w:before="0" w:after="0"/>
        <w:rPr>
          <w:rFonts w:ascii="Verdana" w:hAnsi="Verdana" w:eastAsia="Verdana" w:cs="Verdana"/>
          <w:color w:val="4472C4"/>
          <w:sz w:val="20"/>
          <w:szCs w:val="20"/>
        </w:rPr>
      </w:pPr>
      <w:r>
        <w:rPr>
          <w:rFonts w:eastAsia="Verdana" w:cs="Verdana" w:ascii="Verdana" w:hAnsi="Verdana"/>
          <w:color w:val="4472C4"/>
          <w:sz w:val="20"/>
          <w:szCs w:val="20"/>
        </w:rPr>
        <w:t xml:space="preserve">The grounds and circumstances giving rise to the </w:t>
      </w:r>
      <w:r>
        <w:rPr>
          <w:rFonts w:eastAsia="Verdana" w:cs="Verdana" w:ascii="Verdana" w:hAnsi="Verdana"/>
          <w:b/>
          <w:color w:val="4472C4"/>
          <w:sz w:val="20"/>
          <w:szCs w:val="20"/>
        </w:rPr>
        <w:t>exemptions</w:t>
      </w:r>
      <w:r>
        <w:rPr>
          <w:rFonts w:eastAsia="Verdana" w:cs="Verdana" w:ascii="Verdana" w:hAnsi="Verdana"/>
          <w:color w:val="4472C4"/>
          <w:sz w:val="20"/>
          <w:szCs w:val="20"/>
        </w:rPr>
        <w:t xml:space="preserve"> from wearing a face covering are set out in the face covering rule at clause 11 of the Order, and repeated at paragraph 3 of the template letter below.  The likely main ground for an exemption will be that you have a condition or disability making it unsafe, difficult or not possible for you to wear a face covering.  </w:t>
      </w:r>
    </w:p>
    <w:p>
      <w:pPr>
        <w:pStyle w:val="LOnormal"/>
        <w:spacing w:lineRule="auto" w:line="360" w:before="0" w:after="0"/>
        <w:rPr>
          <w:rFonts w:ascii="Verdana" w:hAnsi="Verdana" w:eastAsia="Verdana" w:cs="Verdana"/>
          <w:color w:val="4472C4"/>
          <w:sz w:val="20"/>
          <w:szCs w:val="20"/>
        </w:rPr>
      </w:pPr>
      <w:r>
        <w:rPr>
          <w:rFonts w:eastAsia="Verdana" w:cs="Verdana" w:ascii="Verdana" w:hAnsi="Verdana"/>
          <w:color w:val="4472C4"/>
          <w:sz w:val="20"/>
          <w:szCs w:val="20"/>
        </w:rPr>
      </w:r>
    </w:p>
    <w:p>
      <w:pPr>
        <w:pStyle w:val="LOnormal"/>
        <w:spacing w:lineRule="auto" w:line="360" w:before="0" w:after="0"/>
        <w:rPr>
          <w:rFonts w:ascii="Verdana" w:hAnsi="Verdana" w:eastAsia="Verdana" w:cs="Verdana"/>
          <w:color w:val="4472C4"/>
          <w:sz w:val="20"/>
          <w:szCs w:val="20"/>
        </w:rPr>
      </w:pPr>
      <w:r>
        <w:rPr>
          <w:rFonts w:eastAsia="Verdana" w:cs="Verdana" w:ascii="Verdana" w:hAnsi="Verdana"/>
          <w:b/>
          <w:color w:val="4472C4"/>
          <w:sz w:val="20"/>
          <w:szCs w:val="20"/>
        </w:rPr>
        <w:t>Condition/s</w:t>
      </w:r>
      <w:r>
        <w:rPr>
          <w:rFonts w:eastAsia="Verdana" w:cs="Verdana" w:ascii="Verdana" w:hAnsi="Verdana"/>
          <w:color w:val="4472C4"/>
          <w:sz w:val="20"/>
          <w:szCs w:val="20"/>
        </w:rPr>
        <w:t xml:space="preserve"> are not defined, but a non-exhaustive list of conditions that people have found make wearing a face covering unsuitable includes:</w:t>
      </w:r>
    </w:p>
    <w:tbl>
      <w:tblPr>
        <w:tblW w:w="9350" w:type="dxa"/>
        <w:jc w:val="left"/>
        <w:tblInd w:w="0" w:type="dxa"/>
        <w:tblCellMar>
          <w:top w:w="0" w:type="dxa"/>
          <w:left w:w="108" w:type="dxa"/>
          <w:bottom w:w="0" w:type="dxa"/>
          <w:right w:w="108" w:type="dxa"/>
        </w:tblCellMar>
        <w:tblLook w:val="0400" w:noVBand="1" w:noHBand="0" w:lastColumn="0" w:firstColumn="0" w:lastRow="0" w:firstRow="0"/>
      </w:tblPr>
      <w:tblGrid>
        <w:gridCol w:w="3116"/>
        <w:gridCol w:w="3117"/>
        <w:gridCol w:w="3117"/>
      </w:tblGrid>
      <w:tr>
        <w:trPr/>
        <w:tc>
          <w:tcPr>
            <w:tcW w:w="3116" w:type="dxa"/>
            <w:tcBorders/>
          </w:tcPr>
          <w:p>
            <w:pPr>
              <w:pStyle w:val="LOnormal"/>
              <w:numPr>
                <w:ilvl w:val="0"/>
                <w:numId w:val="1"/>
              </w:numPr>
              <w:spacing w:lineRule="auto" w:line="240" w:before="0" w:after="0"/>
              <w:ind w:left="313" w:hanging="360"/>
              <w:rPr/>
            </w:pPr>
            <w:r>
              <w:rPr>
                <w:rFonts w:eastAsia="Verdana" w:cs="Verdana" w:ascii="Verdana" w:hAnsi="Verdana"/>
                <w:color w:val="4472C4"/>
                <w:sz w:val="20"/>
                <w:szCs w:val="20"/>
              </w:rPr>
              <w:t>shortness of breath</w:t>
            </w:r>
          </w:p>
          <w:p>
            <w:pPr>
              <w:pStyle w:val="LOnormal"/>
              <w:numPr>
                <w:ilvl w:val="0"/>
                <w:numId w:val="1"/>
              </w:numPr>
              <w:spacing w:lineRule="auto" w:line="240" w:before="0" w:after="0"/>
              <w:ind w:left="313" w:hanging="360"/>
              <w:rPr/>
            </w:pPr>
            <w:r>
              <w:rPr>
                <w:rFonts w:eastAsia="Verdana" w:cs="Verdana" w:ascii="Verdana" w:hAnsi="Verdana"/>
                <w:color w:val="4472C4"/>
                <w:sz w:val="20"/>
                <w:szCs w:val="20"/>
              </w:rPr>
              <w:t>asthma</w:t>
            </w:r>
          </w:p>
          <w:p>
            <w:pPr>
              <w:pStyle w:val="LOnormal"/>
              <w:numPr>
                <w:ilvl w:val="0"/>
                <w:numId w:val="1"/>
              </w:numPr>
              <w:spacing w:lineRule="auto" w:line="240" w:before="0" w:after="0"/>
              <w:ind w:left="313" w:hanging="360"/>
              <w:rPr/>
            </w:pPr>
            <w:r>
              <w:rPr>
                <w:rFonts w:eastAsia="Verdana" w:cs="Verdana" w:ascii="Verdana" w:hAnsi="Verdana"/>
                <w:color w:val="4472C4"/>
                <w:sz w:val="20"/>
                <w:szCs w:val="20"/>
              </w:rPr>
              <w:t>bronchitis</w:t>
            </w:r>
          </w:p>
        </w:tc>
        <w:tc>
          <w:tcPr>
            <w:tcW w:w="3117" w:type="dxa"/>
            <w:tcBorders/>
          </w:tcPr>
          <w:p>
            <w:pPr>
              <w:pStyle w:val="LOnormal"/>
              <w:numPr>
                <w:ilvl w:val="0"/>
                <w:numId w:val="1"/>
              </w:numPr>
              <w:spacing w:lineRule="auto" w:line="240" w:before="0" w:after="0"/>
              <w:ind w:left="594" w:hanging="567"/>
              <w:rPr/>
            </w:pPr>
            <w:r>
              <w:rPr>
                <w:rFonts w:eastAsia="Verdana" w:cs="Verdana" w:ascii="Verdana" w:hAnsi="Verdana"/>
                <w:color w:val="4472C4"/>
                <w:sz w:val="20"/>
                <w:szCs w:val="20"/>
              </w:rPr>
              <w:t>pregnancy</w:t>
            </w:r>
          </w:p>
          <w:p>
            <w:pPr>
              <w:pStyle w:val="LOnormal"/>
              <w:numPr>
                <w:ilvl w:val="0"/>
                <w:numId w:val="1"/>
              </w:numPr>
              <w:spacing w:lineRule="auto" w:line="240" w:before="0" w:after="0"/>
              <w:ind w:left="594" w:hanging="567"/>
              <w:rPr/>
            </w:pPr>
            <w:r>
              <w:rPr>
                <w:rFonts w:eastAsia="Verdana" w:cs="Verdana" w:ascii="Verdana" w:hAnsi="Verdana"/>
                <w:color w:val="4472C4"/>
                <w:sz w:val="20"/>
                <w:szCs w:val="20"/>
              </w:rPr>
              <w:t>feelings of anxiety</w:t>
            </w:r>
          </w:p>
          <w:p>
            <w:pPr>
              <w:pStyle w:val="LOnormal"/>
              <w:numPr>
                <w:ilvl w:val="0"/>
                <w:numId w:val="1"/>
              </w:numPr>
              <w:spacing w:lineRule="auto" w:line="240" w:before="0" w:after="0"/>
              <w:ind w:left="594" w:hanging="567"/>
              <w:rPr/>
            </w:pPr>
            <w:r>
              <w:rPr>
                <w:rFonts w:eastAsia="Verdana" w:cs="Verdana" w:ascii="Verdana" w:hAnsi="Verdana"/>
                <w:color w:val="4472C4"/>
                <w:sz w:val="20"/>
                <w:szCs w:val="20"/>
              </w:rPr>
              <w:t>deafness</w:t>
            </w:r>
          </w:p>
        </w:tc>
        <w:tc>
          <w:tcPr>
            <w:tcW w:w="3117" w:type="dxa"/>
            <w:tcBorders/>
          </w:tcPr>
          <w:p>
            <w:pPr>
              <w:pStyle w:val="LOnormal"/>
              <w:numPr>
                <w:ilvl w:val="0"/>
                <w:numId w:val="1"/>
              </w:numPr>
              <w:spacing w:lineRule="auto" w:line="240" w:before="0" w:after="0"/>
              <w:ind w:left="458" w:hanging="360"/>
              <w:rPr/>
            </w:pPr>
            <w:r>
              <w:rPr>
                <w:rFonts w:eastAsia="Verdana" w:cs="Verdana" w:ascii="Verdana" w:hAnsi="Verdana"/>
                <w:color w:val="4472C4"/>
                <w:sz w:val="20"/>
                <w:szCs w:val="20"/>
              </w:rPr>
              <w:t>PTSD</w:t>
            </w:r>
          </w:p>
          <w:p>
            <w:pPr>
              <w:pStyle w:val="LOnormal"/>
              <w:numPr>
                <w:ilvl w:val="0"/>
                <w:numId w:val="1"/>
              </w:numPr>
              <w:spacing w:lineRule="auto" w:line="240" w:before="0" w:after="0"/>
              <w:ind w:left="458" w:hanging="360"/>
              <w:rPr/>
            </w:pPr>
            <w:r>
              <w:rPr>
                <w:rFonts w:eastAsia="Verdana" w:cs="Verdana" w:ascii="Verdana" w:hAnsi="Verdana"/>
                <w:color w:val="4472C4"/>
                <w:sz w:val="20"/>
                <w:szCs w:val="20"/>
              </w:rPr>
              <w:t>facial hair</w:t>
            </w:r>
          </w:p>
          <w:p>
            <w:pPr>
              <w:pStyle w:val="LOnormal"/>
              <w:numPr>
                <w:ilvl w:val="0"/>
                <w:numId w:val="1"/>
              </w:numPr>
              <w:spacing w:lineRule="auto" w:line="240" w:before="0" w:after="0"/>
              <w:ind w:left="458" w:hanging="360"/>
              <w:rPr/>
            </w:pPr>
            <w:r>
              <w:rPr>
                <w:rFonts w:eastAsia="Verdana" w:cs="Verdana" w:ascii="Verdana" w:hAnsi="Verdana"/>
                <w:color w:val="4472C4"/>
                <w:sz w:val="20"/>
                <w:szCs w:val="20"/>
              </w:rPr>
              <w:t>skin irritation</w:t>
            </w:r>
          </w:p>
        </w:tc>
      </w:tr>
    </w:tbl>
    <w:p>
      <w:pPr>
        <w:pStyle w:val="LOnormal"/>
        <w:spacing w:lineRule="auto" w:line="360" w:before="0" w:after="0"/>
        <w:rPr>
          <w:rFonts w:ascii="Verdana" w:hAnsi="Verdana" w:eastAsia="Verdana" w:cs="Verdana"/>
          <w:color w:val="4472C4"/>
          <w:sz w:val="20"/>
          <w:szCs w:val="20"/>
        </w:rPr>
      </w:pPr>
      <w:r>
        <w:rPr>
          <w:rFonts w:eastAsia="Verdana" w:cs="Verdana" w:ascii="Verdana" w:hAnsi="Verdana"/>
          <w:color w:val="4472C4"/>
          <w:sz w:val="20"/>
          <w:szCs w:val="20"/>
        </w:rPr>
      </w:r>
    </w:p>
    <w:p>
      <w:pPr>
        <w:pStyle w:val="LOnormal"/>
        <w:spacing w:lineRule="auto" w:line="360" w:before="0" w:after="0"/>
        <w:rPr>
          <w:rFonts w:ascii="Verdana" w:hAnsi="Verdana" w:eastAsia="Verdana" w:cs="Verdana"/>
          <w:color w:val="4472C4"/>
          <w:sz w:val="20"/>
          <w:szCs w:val="20"/>
        </w:rPr>
      </w:pPr>
      <w:r>
        <w:rPr>
          <w:rFonts w:eastAsia="Verdana" w:cs="Verdana" w:ascii="Verdana" w:hAnsi="Verdana"/>
          <w:b/>
          <w:color w:val="4472C4"/>
          <w:sz w:val="20"/>
          <w:szCs w:val="20"/>
        </w:rPr>
        <w:t>Disability</w:t>
      </w:r>
      <w:r>
        <w:rPr>
          <w:rFonts w:eastAsia="Verdana" w:cs="Verdana" w:ascii="Verdana" w:hAnsi="Verdana"/>
          <w:color w:val="4472C4"/>
          <w:sz w:val="20"/>
          <w:szCs w:val="20"/>
        </w:rPr>
        <w:t xml:space="preserve"> is defined in section 21(1)(h) of  the Human Rights Act 1993.defined as:</w:t>
      </w:r>
    </w:p>
    <w:p>
      <w:pPr>
        <w:pStyle w:val="LOnormal"/>
        <w:numPr>
          <w:ilvl w:val="0"/>
          <w:numId w:val="2"/>
        </w:numPr>
        <w:shd w:val="clear" w:color="auto" w:fill="FFFFFF"/>
        <w:spacing w:before="0" w:after="0"/>
        <w:ind w:left="1843" w:hanging="720"/>
        <w:jc w:val="both"/>
        <w:rPr>
          <w:rFonts w:ascii="Times" w:hAnsi="Times" w:eastAsia="Times" w:cs="Times"/>
          <w:color w:val="4472C4"/>
        </w:rPr>
      </w:pPr>
      <w:r>
        <w:rPr>
          <w:rFonts w:eastAsia="Times" w:cs="Times" w:ascii="Times" w:hAnsi="Times"/>
          <w:color w:val="4472C4"/>
        </w:rPr>
        <w:t>physical disability or impairment:</w:t>
      </w:r>
    </w:p>
    <w:p>
      <w:pPr>
        <w:pStyle w:val="LOnormal"/>
        <w:numPr>
          <w:ilvl w:val="0"/>
          <w:numId w:val="2"/>
        </w:numPr>
        <w:shd w:val="clear" w:color="auto" w:fill="FFFFFF"/>
        <w:spacing w:before="0" w:after="0"/>
        <w:ind w:left="1843" w:hanging="720"/>
        <w:jc w:val="both"/>
        <w:rPr>
          <w:rFonts w:ascii="Times" w:hAnsi="Times" w:eastAsia="Times" w:cs="Times"/>
          <w:color w:val="4472C4"/>
        </w:rPr>
      </w:pPr>
      <w:r>
        <w:rPr>
          <w:rFonts w:eastAsia="Times" w:cs="Times" w:ascii="Times" w:hAnsi="Times"/>
          <w:color w:val="4472C4"/>
        </w:rPr>
        <w:t>physical illness:</w:t>
      </w:r>
    </w:p>
    <w:p>
      <w:pPr>
        <w:pStyle w:val="LOnormal"/>
        <w:numPr>
          <w:ilvl w:val="0"/>
          <w:numId w:val="2"/>
        </w:numPr>
        <w:shd w:val="clear" w:color="auto" w:fill="FFFFFF"/>
        <w:spacing w:before="0" w:after="0"/>
        <w:ind w:left="1843" w:hanging="720"/>
        <w:jc w:val="both"/>
        <w:rPr>
          <w:rFonts w:ascii="Times" w:hAnsi="Times" w:eastAsia="Times" w:cs="Times"/>
          <w:color w:val="4472C4"/>
        </w:rPr>
      </w:pPr>
      <w:r>
        <w:rPr>
          <w:rFonts w:eastAsia="Times" w:cs="Times" w:ascii="Times" w:hAnsi="Times"/>
          <w:color w:val="4472C4"/>
        </w:rPr>
        <w:t>psychiatric illness:</w:t>
      </w:r>
    </w:p>
    <w:p>
      <w:pPr>
        <w:pStyle w:val="LOnormal"/>
        <w:numPr>
          <w:ilvl w:val="0"/>
          <w:numId w:val="2"/>
        </w:numPr>
        <w:shd w:val="clear" w:color="auto" w:fill="FFFFFF"/>
        <w:spacing w:before="0" w:after="0"/>
        <w:ind w:left="1843" w:hanging="720"/>
        <w:jc w:val="both"/>
        <w:rPr>
          <w:rFonts w:ascii="Times" w:hAnsi="Times" w:eastAsia="Times" w:cs="Times"/>
          <w:color w:val="4472C4"/>
        </w:rPr>
      </w:pPr>
      <w:r>
        <w:rPr>
          <w:rFonts w:eastAsia="Times" w:cs="Times" w:ascii="Times" w:hAnsi="Times"/>
          <w:color w:val="4472C4"/>
        </w:rPr>
        <w:t>intellectual or psychological disability or impairment:</w:t>
      </w:r>
    </w:p>
    <w:p>
      <w:pPr>
        <w:pStyle w:val="LOnormal"/>
        <w:numPr>
          <w:ilvl w:val="0"/>
          <w:numId w:val="2"/>
        </w:numPr>
        <w:shd w:val="clear" w:color="auto" w:fill="FFFFFF"/>
        <w:spacing w:before="0" w:after="0"/>
        <w:ind w:left="1843" w:hanging="720"/>
        <w:jc w:val="both"/>
        <w:rPr>
          <w:rFonts w:ascii="Times" w:hAnsi="Times" w:eastAsia="Times" w:cs="Times"/>
          <w:color w:val="4472C4"/>
        </w:rPr>
      </w:pPr>
      <w:r>
        <w:rPr>
          <w:rFonts w:eastAsia="Times" w:cs="Times" w:ascii="Times" w:hAnsi="Times"/>
          <w:color w:val="4472C4"/>
        </w:rPr>
        <w:t>any other loss or abnormality of psychological, physiological, or anatomical structure or function:</w:t>
      </w:r>
    </w:p>
    <w:p>
      <w:pPr>
        <w:pStyle w:val="LOnormal"/>
        <w:numPr>
          <w:ilvl w:val="0"/>
          <w:numId w:val="2"/>
        </w:numPr>
        <w:shd w:val="clear" w:color="auto" w:fill="FFFFFF"/>
        <w:spacing w:before="0" w:after="0"/>
        <w:ind w:left="1843" w:hanging="720"/>
        <w:jc w:val="both"/>
        <w:rPr>
          <w:rFonts w:ascii="Times" w:hAnsi="Times" w:eastAsia="Times" w:cs="Times"/>
          <w:color w:val="4472C4"/>
        </w:rPr>
      </w:pPr>
      <w:r>
        <w:rPr>
          <w:rFonts w:eastAsia="Times" w:cs="Times" w:ascii="Times" w:hAnsi="Times"/>
          <w:color w:val="4472C4"/>
        </w:rPr>
        <w:t>reliance on a guide dog, wheelchair, or other remedial means:</w:t>
      </w:r>
    </w:p>
    <w:p>
      <w:pPr>
        <w:pStyle w:val="LOnormal"/>
        <w:numPr>
          <w:ilvl w:val="0"/>
          <w:numId w:val="2"/>
        </w:numPr>
        <w:shd w:val="clear" w:color="auto" w:fill="FFFFFF"/>
        <w:spacing w:before="0" w:after="0"/>
        <w:ind w:left="1843" w:hanging="720"/>
        <w:jc w:val="both"/>
        <w:rPr>
          <w:rFonts w:ascii="Times" w:hAnsi="Times" w:eastAsia="Times" w:cs="Times"/>
          <w:color w:val="4472C4"/>
        </w:rPr>
      </w:pPr>
      <w:r>
        <w:rPr>
          <w:rFonts w:eastAsia="Times" w:cs="Times" w:ascii="Times" w:hAnsi="Times"/>
          <w:color w:val="4472C4"/>
        </w:rPr>
        <w:t>the presence in the body of organisms capable of causing illness:</w:t>
      </w:r>
    </w:p>
    <w:p>
      <w:pPr>
        <w:pStyle w:val="LOnormal"/>
        <w:spacing w:lineRule="auto" w:line="360" w:before="0" w:after="0"/>
        <w:rPr>
          <w:rFonts w:ascii="Verdana" w:hAnsi="Verdana" w:eastAsia="Verdana" w:cs="Verdana"/>
          <w:color w:val="4472C4"/>
          <w:sz w:val="20"/>
          <w:szCs w:val="20"/>
        </w:rPr>
      </w:pPr>
      <w:r>
        <w:rPr>
          <w:rFonts w:eastAsia="Verdana" w:cs="Verdana" w:ascii="Verdana" w:hAnsi="Verdana"/>
          <w:color w:val="4472C4"/>
          <w:sz w:val="20"/>
          <w:szCs w:val="20"/>
        </w:rPr>
      </w:r>
    </w:p>
    <w:p>
      <w:pPr>
        <w:pStyle w:val="LOnormal"/>
        <w:spacing w:lineRule="auto" w:line="360" w:before="0" w:after="0"/>
        <w:rPr>
          <w:rFonts w:ascii="Verdana" w:hAnsi="Verdana" w:eastAsia="Verdana" w:cs="Verdana"/>
          <w:color w:val="4472C4"/>
          <w:sz w:val="20"/>
          <w:szCs w:val="20"/>
        </w:rPr>
      </w:pPr>
      <w:r>
        <w:rPr>
          <w:rFonts w:eastAsia="Verdana" w:cs="Verdana" w:ascii="Verdana" w:hAnsi="Verdana"/>
          <w:color w:val="4472C4"/>
          <w:sz w:val="20"/>
          <w:szCs w:val="20"/>
        </w:rPr>
        <w:t>You should not feel bad because you cannot wear a face covering.  If you have a reason for not doing so, then as per the above exemptions, you should feel comfortable in your position.</w:t>
      </w:r>
    </w:p>
    <w:p>
      <w:pPr>
        <w:pStyle w:val="LOnormal"/>
        <w:spacing w:lineRule="auto" w:line="360" w:before="0" w:after="0"/>
        <w:rPr>
          <w:rFonts w:ascii="Verdana" w:hAnsi="Verdana" w:eastAsia="Verdana" w:cs="Verdana"/>
          <w:color w:val="4472C4"/>
          <w:sz w:val="20"/>
          <w:szCs w:val="20"/>
        </w:rPr>
      </w:pPr>
      <w:r>
        <w:rPr>
          <w:rFonts w:eastAsia="Verdana" w:cs="Verdana" w:ascii="Verdana" w:hAnsi="Verdana"/>
          <w:color w:val="4472C4"/>
          <w:sz w:val="20"/>
          <w:szCs w:val="20"/>
        </w:rPr>
      </w:r>
    </w:p>
    <w:p>
      <w:pPr>
        <w:pStyle w:val="Normal"/>
        <w:spacing w:lineRule="auto" w:line="360" w:before="0" w:after="0"/>
        <w:rPr>
          <w:sz w:val="20"/>
          <w:szCs w:val="20"/>
        </w:rPr>
      </w:pPr>
      <w:r>
        <w:rPr>
          <w:rFonts w:eastAsia="Verdana" w:cs="Verdana" w:ascii="Verdana" w:hAnsi="Verdana"/>
          <w:color w:val="4F81BD" w:themeColor="accent1"/>
          <w:sz w:val="20"/>
          <w:szCs w:val="20"/>
          <w:lang w:eastAsia="en-US" w:bidi="ar-SA"/>
        </w:rPr>
        <w:t>In early April 2022</w:t>
      </w:r>
      <w:r>
        <w:rPr>
          <w:rFonts w:eastAsia="Verdana" w:cs="Verdana" w:ascii="Verdana" w:hAnsi="Verdana"/>
          <w:color w:val="4F81BD" w:themeColor="accent1"/>
          <w:sz w:val="20"/>
          <w:szCs w:val="20"/>
        </w:rPr>
        <w:t xml:space="preserve">, </w:t>
      </w:r>
      <w:r>
        <w:rPr>
          <w:rFonts w:eastAsia="Verdana" w:cs="Verdana" w:ascii="Verdana" w:hAnsi="Verdana"/>
          <w:b/>
          <w:color w:val="4F81BD" w:themeColor="accent1"/>
          <w:sz w:val="20"/>
          <w:szCs w:val="20"/>
        </w:rPr>
        <w:t xml:space="preserve">the MOH bought in a mask exemption card </w:t>
      </w:r>
      <w:r>
        <w:rPr>
          <w:rFonts w:eastAsia="Verdana" w:cs="Verdana" w:ascii="Verdana" w:hAnsi="Verdana"/>
          <w:color w:val="4F81BD" w:themeColor="accent1"/>
          <w:sz w:val="20"/>
          <w:szCs w:val="20"/>
        </w:rPr>
        <w:t xml:space="preserve">called a “Communication Card”.  These cards are the same as the ones issued by the Disabled Persons </w:t>
      </w:r>
      <w:r>
        <w:rPr>
          <w:rFonts w:eastAsia="Verdana" w:cs="Verdana" w:ascii="Verdana" w:hAnsi="Verdana"/>
          <w:color w:val="4F81BD" w:themeColor="accent1"/>
          <w:sz w:val="20"/>
          <w:szCs w:val="20"/>
          <w:lang w:eastAsia="en-US" w:bidi="ar-SA"/>
        </w:rPr>
        <w:t xml:space="preserve">Assembly (but now specifying reasons).  The MOH website states that: </w:t>
      </w:r>
    </w:p>
    <w:p>
      <w:pPr>
        <w:pStyle w:val="Normal"/>
        <w:spacing w:lineRule="auto" w:line="240" w:before="0" w:after="0"/>
        <w:rPr>
          <w:rFonts w:ascii="Verdana" w:hAnsi="Verdana" w:eastAsia="Verdana" w:cs="Verdana"/>
          <w:color w:val="4F81BD" w:themeColor="accent1"/>
          <w:sz w:val="20"/>
          <w:szCs w:val="20"/>
          <w:lang w:eastAsia="en-US" w:bidi="ar-SA"/>
        </w:rPr>
      </w:pPr>
      <w:r>
        <w:rPr>
          <w:rFonts w:eastAsia="Verdana" w:cs="Verdana" w:ascii="Verdana" w:hAnsi="Verdana"/>
          <w:color w:val="4F81BD" w:themeColor="accent1"/>
          <w:sz w:val="20"/>
          <w:szCs w:val="20"/>
          <w:lang w:eastAsia="en-US" w:bidi="ar-SA"/>
        </w:rPr>
      </w:r>
    </w:p>
    <w:p>
      <w:pPr>
        <w:pStyle w:val="Normal"/>
        <w:spacing w:lineRule="auto" w:line="240" w:before="0" w:after="0"/>
        <w:ind w:left="1247" w:hanging="0"/>
        <w:rPr>
          <w:rFonts w:ascii="Verdana" w:hAnsi="Verdana" w:eastAsia="Verdana" w:cs="Verdana"/>
          <w:i/>
          <w:i/>
          <w:iCs/>
          <w:color w:val="4F81BD" w:themeColor="accent1"/>
          <w:sz w:val="20"/>
          <w:szCs w:val="20"/>
          <w:lang w:eastAsia="en-US" w:bidi="ar-SA"/>
        </w:rPr>
      </w:pPr>
      <w:r>
        <w:rPr>
          <w:rFonts w:eastAsia="Verdana" w:cs="Verdana" w:ascii="Verdana" w:hAnsi="Verdana"/>
          <w:i/>
          <w:iCs/>
          <w:color w:val="4F81BD" w:themeColor="accent1"/>
          <w:sz w:val="20"/>
          <w:szCs w:val="20"/>
          <w:lang w:eastAsia="en-US" w:bidi="ar-SA"/>
        </w:rPr>
        <w:t>“</w:t>
      </w:r>
      <w:r>
        <w:rPr>
          <w:rFonts w:eastAsia="Verdana" w:cs="Verdana" w:ascii="Verdana" w:hAnsi="Verdana"/>
          <w:i/>
          <w:iCs/>
          <w:color w:val="4F81BD" w:themeColor="accent1"/>
          <w:sz w:val="20"/>
          <w:szCs w:val="20"/>
          <w:lang w:eastAsia="en-US" w:bidi="ar-SA"/>
        </w:rPr>
        <w:t xml:space="preserve">A Communication Card has been developed for you to show to transport operators, retailers and service providers. These make it easier to explain </w:t>
      </w:r>
    </w:p>
    <w:p>
      <w:pPr>
        <w:pStyle w:val="Normal"/>
        <w:spacing w:lineRule="auto" w:line="240" w:before="0" w:after="0"/>
        <w:ind w:left="1247" w:hanging="0"/>
        <w:rPr>
          <w:sz w:val="20"/>
          <w:szCs w:val="20"/>
        </w:rPr>
      </w:pPr>
      <w:r>
        <w:rPr>
          <w:rFonts w:eastAsia="Verdana" w:cs="Verdana" w:ascii="Verdana" w:hAnsi="Verdana"/>
          <w:i/>
          <w:iCs/>
          <w:color w:val="4F81BD" w:themeColor="accent1"/>
          <w:sz w:val="20"/>
          <w:szCs w:val="20"/>
          <w:lang w:eastAsia="en-US" w:bidi="ar-SA"/>
        </w:rPr>
        <w:t xml:space="preserve">that a face mask is unsuitable for you. </w:t>
      </w:r>
      <w:r>
        <w:rPr>
          <w:rFonts w:eastAsia="Verdana" w:cs="Verdana" w:ascii="Verdana" w:hAnsi="Verdana"/>
          <w:b/>
          <w:bCs/>
          <w:i/>
          <w:iCs/>
          <w:color w:val="4F81BD" w:themeColor="accent1"/>
          <w:sz w:val="20"/>
          <w:szCs w:val="20"/>
          <w:lang w:eastAsia="en-US" w:bidi="ar-SA"/>
        </w:rPr>
        <w:t>There is no legal requirement to carry a Communication Card, though many choose to do so</w:t>
      </w:r>
      <w:r>
        <w:rPr>
          <w:rFonts w:eastAsia="Verdana" w:cs="Verdana" w:ascii="Verdana" w:hAnsi="Verdana"/>
          <w:i/>
          <w:iCs/>
          <w:color w:val="4F81BD" w:themeColor="accent1"/>
          <w:sz w:val="20"/>
          <w:szCs w:val="20"/>
          <w:lang w:eastAsia="en-US" w:bidi="ar-SA"/>
        </w:rPr>
        <w:t>.”</w:t>
      </w:r>
      <w:r>
        <w:rPr>
          <w:rFonts w:eastAsia="Verdana" w:cs="Verdana" w:ascii="Verdana" w:hAnsi="Verdana"/>
          <w:color w:val="4F81BD" w:themeColor="accent1"/>
          <w:sz w:val="20"/>
          <w:szCs w:val="20"/>
          <w:lang w:eastAsia="en-US" w:bidi="ar-SA"/>
        </w:rPr>
        <w:t xml:space="preserve"> </w:t>
      </w:r>
    </w:p>
    <w:p>
      <w:pPr>
        <w:pStyle w:val="Normal"/>
        <w:spacing w:lineRule="auto" w:line="240" w:before="0" w:after="0"/>
        <w:ind w:left="1247" w:hanging="0"/>
        <w:rPr/>
      </w:pPr>
      <w:hyperlink r:id="rId7">
        <w:r>
          <w:rPr>
            <w:rStyle w:val="InternetLink"/>
            <w:rFonts w:eastAsia="Verdana" w:cs="Verdana" w:ascii="Verdana" w:hAnsi="Verdana"/>
            <w:color w:val="4F81BD" w:themeColor="accent1"/>
            <w:sz w:val="20"/>
            <w:szCs w:val="20"/>
            <w:lang w:eastAsia="en-US" w:bidi="ar-SA"/>
          </w:rPr>
          <w:t>https://www.health.govt.nz/covid-19-novel-coronavirus/covid-19-health-advice-public/covid-19-use-face-masks-community/covid-19-advice-people-who-are-unable-wear-face-mask</w:t>
        </w:r>
      </w:hyperlink>
      <w:r>
        <w:rPr>
          <w:rFonts w:eastAsia="Verdana" w:cs="Verdana" w:ascii="Verdana" w:hAnsi="Verdana"/>
          <w:color w:val="4F81BD" w:themeColor="accent1"/>
          <w:sz w:val="20"/>
          <w:szCs w:val="20"/>
          <w:lang w:eastAsia="en-US" w:bidi="ar-SA"/>
        </w:rPr>
        <w:t xml:space="preserve"> </w:t>
      </w:r>
    </w:p>
    <w:p>
      <w:pPr>
        <w:pStyle w:val="Normal"/>
        <w:spacing w:lineRule="auto" w:line="240" w:before="0" w:after="0"/>
        <w:rPr>
          <w:rFonts w:ascii="Verdana" w:hAnsi="Verdana" w:eastAsia="Verdana" w:cs="Verdana"/>
          <w:b/>
          <w:b/>
          <w:i/>
          <w:i/>
          <w:color w:val="4472C4"/>
          <w:sz w:val="20"/>
          <w:szCs w:val="20"/>
        </w:rPr>
      </w:pPr>
      <w:r>
        <w:rPr>
          <w:rFonts w:eastAsia="Verdana" w:cs="Verdana" w:ascii="Verdana" w:hAnsi="Verdana"/>
          <w:b/>
          <w:i/>
          <w:color w:val="4472C4"/>
          <w:sz w:val="20"/>
          <w:szCs w:val="20"/>
        </w:rPr>
      </w:r>
    </w:p>
    <w:p>
      <w:pPr>
        <w:pStyle w:val="Normal"/>
        <w:spacing w:lineRule="auto" w:line="360" w:before="0" w:after="0"/>
        <w:rPr>
          <w:sz w:val="20"/>
          <w:szCs w:val="20"/>
        </w:rPr>
      </w:pPr>
      <w:r>
        <w:rPr>
          <w:rFonts w:eastAsia="Verdana" w:cs="Verdana" w:ascii="Verdana" w:hAnsi="Verdana"/>
          <w:color w:val="4F81BD" w:themeColor="accent1"/>
          <w:sz w:val="20"/>
          <w:szCs w:val="20"/>
        </w:rPr>
        <w:t>The Communication Card was available until 30 May 2022 and is still valid.</w:t>
      </w:r>
    </w:p>
    <w:p>
      <w:pPr>
        <w:pStyle w:val="Normal"/>
        <w:spacing w:lineRule="auto" w:line="360" w:before="0" w:after="0"/>
        <w:rPr>
          <w:sz w:val="20"/>
          <w:szCs w:val="20"/>
        </w:rPr>
      </w:pPr>
      <w:r>
        <w:rPr>
          <w:sz w:val="20"/>
          <w:szCs w:val="20"/>
        </w:rPr>
      </w:r>
    </w:p>
    <w:p>
      <w:pPr>
        <w:pStyle w:val="Normal"/>
        <w:spacing w:lineRule="auto" w:line="360" w:before="0" w:after="0"/>
        <w:rPr/>
      </w:pPr>
      <w:r>
        <w:rPr>
          <w:rFonts w:eastAsia="Verdana" w:cs="Verdana" w:ascii="Verdana" w:hAnsi="Verdana"/>
          <w:color w:val="4F81BD" w:themeColor="accent1"/>
          <w:sz w:val="20"/>
          <w:szCs w:val="20"/>
          <w:lang w:eastAsia="en-US" w:bidi="ar-SA"/>
        </w:rPr>
        <w:t xml:space="preserve">From the beginning of June </w:t>
      </w:r>
      <w:r>
        <w:rPr>
          <w:rFonts w:eastAsia="Verdana" w:cs="Verdana" w:ascii="Verdana" w:hAnsi="Verdana"/>
          <w:color w:val="4F81BD" w:themeColor="accent1"/>
          <w:sz w:val="20"/>
          <w:szCs w:val="20"/>
        </w:rPr>
        <w:t xml:space="preserve">2022, the </w:t>
      </w:r>
      <w:r>
        <w:rPr>
          <w:rFonts w:eastAsia="Verdana" w:cs="Verdana" w:ascii="Verdana" w:hAnsi="Verdana"/>
          <w:b/>
          <w:color w:val="4F81BD" w:themeColor="accent1"/>
          <w:sz w:val="20"/>
          <w:szCs w:val="20"/>
        </w:rPr>
        <w:t xml:space="preserve">MOH bought in a personalised mask exemption </w:t>
      </w:r>
      <w:r>
        <w:rPr>
          <w:rFonts w:eastAsia="Verdana" w:cs="Verdana" w:ascii="Verdana" w:hAnsi="Verdana"/>
          <w:color w:val="4F81BD" w:themeColor="accent1"/>
          <w:sz w:val="20"/>
          <w:szCs w:val="20"/>
        </w:rPr>
        <w:t>called a “</w:t>
      </w:r>
      <w:r>
        <w:rPr>
          <w:rFonts w:eastAsia="Verdana" w:cs="Verdana" w:ascii="Verdana" w:hAnsi="Verdana"/>
          <w:color w:val="4F81BD" w:themeColor="accent1"/>
          <w:sz w:val="20"/>
          <w:szCs w:val="20"/>
          <w:lang w:eastAsia="en-US" w:bidi="ar-SA"/>
        </w:rPr>
        <w:t>Face Mask Exemption Pass</w:t>
      </w:r>
      <w:r>
        <w:rPr>
          <w:rFonts w:eastAsia="Verdana" w:cs="Verdana" w:ascii="Verdana" w:hAnsi="Verdana"/>
          <w:color w:val="4F81BD" w:themeColor="accent1"/>
          <w:sz w:val="20"/>
          <w:szCs w:val="20"/>
        </w:rPr>
        <w:t xml:space="preserve">”.  </w:t>
      </w:r>
      <w:r>
        <w:rPr>
          <w:rFonts w:eastAsia="Verdana" w:cs="Verdana" w:ascii="Verdana" w:hAnsi="Verdana"/>
          <w:color w:val="4F81BD" w:themeColor="accent1"/>
          <w:sz w:val="20"/>
          <w:szCs w:val="20"/>
          <w:lang w:eastAsia="en-US" w:bidi="ar-SA"/>
        </w:rPr>
        <w:t xml:space="preserve">The Face Mask Exemption Pass provides conclusive evidence that the holder is exempt under law from wearing a face mask (clause 106A and 11(3)(l) of the Orders). Because the pass is recognised in law, people with a Communication Card are encouraged to apply for a Face Mask Exemption Pass. </w:t>
      </w:r>
      <w:r>
        <w:rPr>
          <w:rFonts w:eastAsia="Verdana" w:cs="Verdana" w:ascii="Verdana" w:hAnsi="Verdana"/>
          <w:color w:val="4F81BD" w:themeColor="accent1"/>
          <w:sz w:val="20"/>
          <w:szCs w:val="20"/>
        </w:rPr>
        <w:t xml:space="preserve">For further details, and how to apply for a Face Mask Exemption Pass, see: </w:t>
      </w:r>
      <w:hyperlink r:id="rId8">
        <w:r>
          <w:rPr>
            <w:rStyle w:val="InternetLink"/>
            <w:rFonts w:eastAsia="Verdana" w:cs="Verdana" w:ascii="Verdana" w:hAnsi="Verdana"/>
            <w:color w:val="4F81BD" w:themeColor="accent1"/>
            <w:sz w:val="20"/>
            <w:szCs w:val="20"/>
          </w:rPr>
          <w:t>https://www.health.govt.nz/covid-19-novel-coronavirus/covid-19-health-advice-public/covid-19-use-face-masks-community/covid-19-advice-people-who-have-difficulties-wearing-face-mask</w:t>
        </w:r>
      </w:hyperlink>
      <w:r>
        <w:rPr>
          <w:rFonts w:eastAsia="Verdana" w:cs="Verdana" w:ascii="Verdana" w:hAnsi="Verdana"/>
          <w:color w:val="4F81BD" w:themeColor="accent1"/>
          <w:sz w:val="20"/>
          <w:szCs w:val="20"/>
        </w:rPr>
        <w:t xml:space="preserve"> </w:t>
      </w:r>
    </w:p>
    <w:p>
      <w:pPr>
        <w:pStyle w:val="Normal"/>
        <w:spacing w:lineRule="auto" w:line="360" w:before="0" w:after="0"/>
        <w:rPr>
          <w:rFonts w:ascii="Verdana" w:hAnsi="Verdana" w:eastAsia="Verdana" w:cs="Verdana"/>
          <w:color w:val="4F81BD" w:themeColor="accent1"/>
          <w:sz w:val="18"/>
          <w:szCs w:val="18"/>
        </w:rPr>
      </w:pPr>
      <w:r>
        <w:rPr>
          <w:rFonts w:eastAsia="Verdana" w:cs="Verdana" w:ascii="Verdana" w:hAnsi="Verdana"/>
          <w:color w:val="4F81BD" w:themeColor="accent1"/>
          <w:sz w:val="18"/>
          <w:szCs w:val="18"/>
        </w:rPr>
      </w:r>
    </w:p>
    <w:p>
      <w:pPr>
        <w:pStyle w:val="LOnormal"/>
        <w:spacing w:lineRule="auto" w:line="360" w:before="0" w:after="0"/>
        <w:rPr/>
      </w:pPr>
      <w:r>
        <w:rPr>
          <w:rFonts w:eastAsia="Verdana" w:cs="Verdana" w:ascii="Verdana" w:hAnsi="Verdana"/>
          <w:color w:val="4472C4"/>
          <w:sz w:val="20"/>
          <w:szCs w:val="20"/>
        </w:rPr>
        <w:t>While it is inappropriate for a business owner or employee to enquire about the nature of a person’s disability or condition, it is reasonable for them to ask whether a person has an exemption from face mask requirements.</w:t>
      </w:r>
    </w:p>
    <w:p>
      <w:pPr>
        <w:pStyle w:val="LOnormal"/>
        <w:spacing w:lineRule="auto" w:line="360" w:before="0" w:after="0"/>
        <w:rPr/>
      </w:pPr>
      <w:r>
        <w:rPr/>
      </w:r>
    </w:p>
    <w:p>
      <w:pPr>
        <w:pStyle w:val="LOnormal"/>
        <w:spacing w:lineRule="auto" w:line="360" w:before="0" w:after="0"/>
        <w:rPr/>
      </w:pPr>
      <w:r>
        <w:rPr>
          <w:rFonts w:eastAsia="Verdana" w:cs="Verdana" w:ascii="Verdana" w:hAnsi="Verdana"/>
          <w:color w:val="4472C4"/>
          <w:sz w:val="20"/>
          <w:szCs w:val="20"/>
        </w:rPr>
        <w:t>If a business owner or employee refuses you entry for not wearing a mask, this may be discrimination on the ground of disability, and you could make a complaint to the Human Rights Commission. People with a mask exemption should be granted access to the same goods and services as people who can wear a mask.</w:t>
      </w:r>
    </w:p>
    <w:p>
      <w:pPr>
        <w:pStyle w:val="LOnormal"/>
        <w:spacing w:lineRule="auto" w:line="360" w:before="0" w:after="0"/>
        <w:rPr/>
      </w:pPr>
      <w:r>
        <w:rPr/>
      </w:r>
    </w:p>
    <w:p>
      <w:pPr>
        <w:pStyle w:val="LOnormal"/>
        <w:spacing w:lineRule="auto" w:line="360" w:before="0" w:after="0"/>
        <w:rPr/>
      </w:pPr>
      <w:r>
        <w:rPr>
          <w:rFonts w:eastAsia="Verdana" w:cs="Verdana" w:ascii="Verdana" w:hAnsi="Verdana"/>
          <w:color w:val="4472C4"/>
          <w:sz w:val="20"/>
          <w:szCs w:val="20"/>
        </w:rPr>
        <w:t xml:space="preserve">Some businesses or services, such as GP practices may require people who aren’t wearing masks to access their business or service via a different entry process or location.  However, this appears to be at odds with the Orders (see Schedule 6, Part 2A subpart 1 item 6 which expressly states patients at health services (other than a pharmacy) are not required to wear a face covering).  </w:t>
      </w:r>
    </w:p>
    <w:p>
      <w:pPr>
        <w:pStyle w:val="LOnormal"/>
        <w:spacing w:lineRule="auto" w:line="360" w:before="0" w:after="0"/>
        <w:rPr>
          <w:sz w:val="20"/>
          <w:szCs w:val="20"/>
        </w:rPr>
      </w:pPr>
      <w:r>
        <w:rPr>
          <w:sz w:val="20"/>
          <w:szCs w:val="20"/>
        </w:rPr>
      </w:r>
    </w:p>
    <w:p>
      <w:pPr>
        <w:pStyle w:val="LOnormal"/>
        <w:spacing w:lineRule="auto" w:line="360" w:before="0" w:after="0"/>
        <w:rPr>
          <w:sz w:val="20"/>
          <w:szCs w:val="20"/>
        </w:rPr>
      </w:pPr>
      <w:r>
        <w:rPr>
          <w:rFonts w:eastAsia="Verdana" w:cs="Verdana" w:ascii="Verdana" w:hAnsi="Verdana"/>
          <w:b/>
          <w:i/>
          <w:color w:val="4472C4"/>
          <w:sz w:val="20"/>
          <w:szCs w:val="20"/>
        </w:rPr>
        <w:t>What are my rights?</w:t>
      </w:r>
    </w:p>
    <w:p>
      <w:pPr>
        <w:pStyle w:val="LOnormal"/>
        <w:spacing w:lineRule="auto" w:line="360" w:before="0" w:after="0"/>
        <w:rPr>
          <w:rFonts w:ascii="Verdana" w:hAnsi="Verdana" w:eastAsia="Verdana" w:cs="Verdana"/>
          <w:color w:val="4472C4"/>
          <w:sz w:val="20"/>
          <w:szCs w:val="20"/>
        </w:rPr>
      </w:pPr>
      <w:r>
        <w:rPr>
          <w:rFonts w:eastAsia="Verdana" w:cs="Verdana" w:ascii="Verdana" w:hAnsi="Verdana"/>
          <w:color w:val="4472C4"/>
          <w:sz w:val="20"/>
          <w:szCs w:val="20"/>
        </w:rPr>
      </w:r>
    </w:p>
    <w:p>
      <w:pPr>
        <w:pStyle w:val="LOnormal"/>
        <w:spacing w:lineRule="auto" w:line="360" w:before="0" w:after="0"/>
        <w:rPr>
          <w:sz w:val="20"/>
          <w:szCs w:val="20"/>
        </w:rPr>
      </w:pPr>
      <w:r>
        <w:rPr>
          <w:rFonts w:eastAsia="Verdana" w:cs="Verdana" w:ascii="Verdana" w:hAnsi="Verdana"/>
          <w:color w:val="4472C4"/>
          <w:sz w:val="20"/>
          <w:szCs w:val="20"/>
        </w:rPr>
        <w:t xml:space="preserve">It is a fundamental human right in New Zealand to be able to obtain goods and services without being discriminated against.  The failure of a business to grant you access to goods or services for not wearing a face covering (due to a disability or condition), is an act of discrimination and is illegal.  </w:t>
      </w:r>
    </w:p>
    <w:p>
      <w:pPr>
        <w:pStyle w:val="LOnormal"/>
        <w:numPr>
          <w:ilvl w:val="0"/>
          <w:numId w:val="6"/>
        </w:numPr>
        <w:spacing w:lineRule="auto" w:line="360" w:before="170" w:after="0"/>
        <w:rPr>
          <w:color w:val="4472C4"/>
        </w:rPr>
      </w:pPr>
      <w:r>
        <w:rPr>
          <w:rFonts w:eastAsia="Verdana" w:cs="Verdana" w:ascii="Verdana" w:hAnsi="Verdana"/>
          <w:color w:val="4472C4"/>
          <w:sz w:val="20"/>
          <w:szCs w:val="20"/>
        </w:rPr>
        <w:t>You have the right not to wear a face covering where you have an exemption.</w:t>
      </w:r>
      <w:r>
        <w:rPr>
          <w:rStyle w:val="FootnoteAnchor"/>
          <w:rFonts w:eastAsia="Verdana" w:cs="Verdana" w:ascii="Verdana" w:hAnsi="Verdana"/>
          <w:color w:val="4472C4"/>
          <w:sz w:val="20"/>
          <w:szCs w:val="20"/>
        </w:rPr>
        <w:footnoteReference w:id="7"/>
      </w:r>
    </w:p>
    <w:p>
      <w:pPr>
        <w:pStyle w:val="LOnormal"/>
        <w:numPr>
          <w:ilvl w:val="0"/>
          <w:numId w:val="6"/>
        </w:numPr>
        <w:spacing w:lineRule="auto" w:line="360" w:before="0" w:after="170"/>
        <w:rPr>
          <w:color w:val="4472C4"/>
        </w:rPr>
      </w:pPr>
      <w:r>
        <w:rPr>
          <w:rFonts w:eastAsia="Verdana" w:cs="Verdana" w:ascii="Verdana" w:hAnsi="Verdana"/>
          <w:color w:val="4472C4"/>
          <w:sz w:val="20"/>
          <w:szCs w:val="20"/>
        </w:rPr>
        <w:t>Exemptions are self-governing; you do not need a special exemption card or medical certificate to prove that you have an exemption.</w:t>
      </w:r>
    </w:p>
    <w:p>
      <w:pPr>
        <w:pStyle w:val="LOnormal"/>
        <w:numPr>
          <w:ilvl w:val="0"/>
          <w:numId w:val="6"/>
        </w:numPr>
        <w:spacing w:lineRule="auto" w:line="360" w:before="0" w:after="170"/>
        <w:rPr>
          <w:rFonts w:ascii="Verdana" w:hAnsi="Verdana" w:eastAsia="Verdana" w:cs="Verdana"/>
          <w:color w:val="4472C4"/>
          <w:sz w:val="20"/>
          <w:szCs w:val="20"/>
        </w:rPr>
      </w:pPr>
      <w:r>
        <w:rPr>
          <w:rFonts w:eastAsia="Verdana" w:cs="Verdana" w:ascii="Verdana" w:hAnsi="Verdana"/>
          <w:color w:val="4472C4"/>
          <w:sz w:val="20"/>
          <w:szCs w:val="20"/>
        </w:rPr>
        <w:t>Your exemption should be taken on face value by everyone that you come into contact with, failure to do so could be discrimination and may be a breach of the Human Rights Act that protects disabled people (noting that this is defined very broadly in the Human Rights Act).</w:t>
      </w:r>
    </w:p>
    <w:p>
      <w:pPr>
        <w:pStyle w:val="LOnormal"/>
        <w:spacing w:lineRule="auto" w:line="360" w:before="0" w:after="0"/>
        <w:rPr>
          <w:rFonts w:ascii="Verdana" w:hAnsi="Verdana" w:eastAsia="Verdana" w:cs="Verdana"/>
          <w:color w:val="4472C4"/>
          <w:sz w:val="20"/>
          <w:szCs w:val="20"/>
        </w:rPr>
      </w:pPr>
      <w:r>
        <w:rPr>
          <w:rFonts w:eastAsia="Verdana" w:cs="Verdana" w:ascii="Verdana" w:hAnsi="Verdana"/>
          <w:color w:val="4472C4"/>
          <w:sz w:val="20"/>
          <w:szCs w:val="20"/>
        </w:rPr>
        <w:t>If a business refuses you access to their premises to obtain essential goods and services, then the business is obliged to offer you affordable, timely and reasonable alternatives for you to obtain your essential goods and services, for example contactless pick up or delivery.</w:t>
      </w:r>
    </w:p>
    <w:p>
      <w:pPr>
        <w:pStyle w:val="LOnormal"/>
        <w:spacing w:lineRule="auto" w:line="360" w:before="0" w:after="0"/>
        <w:rPr>
          <w:rFonts w:ascii="Verdana" w:hAnsi="Verdana" w:eastAsia="Verdana" w:cs="Verdana"/>
          <w:b/>
          <w:b/>
          <w:color w:val="4472C4"/>
          <w:sz w:val="20"/>
          <w:szCs w:val="20"/>
        </w:rPr>
      </w:pPr>
      <w:r>
        <w:rPr>
          <w:rFonts w:eastAsia="Verdana" w:cs="Verdana" w:ascii="Verdana" w:hAnsi="Verdana"/>
          <w:b/>
          <w:color w:val="4472C4"/>
          <w:sz w:val="20"/>
          <w:szCs w:val="20"/>
        </w:rPr>
      </w:r>
    </w:p>
    <w:p>
      <w:pPr>
        <w:pStyle w:val="LOnormal"/>
        <w:spacing w:lineRule="auto" w:line="360" w:before="0" w:after="0"/>
        <w:rPr>
          <w:rFonts w:ascii="Verdana" w:hAnsi="Verdana" w:eastAsia="Verdana" w:cs="Verdana"/>
          <w:b/>
          <w:b/>
          <w:color w:val="4472C4"/>
          <w:sz w:val="20"/>
          <w:szCs w:val="20"/>
        </w:rPr>
      </w:pPr>
      <w:r>
        <w:rPr>
          <w:rFonts w:eastAsia="Verdana" w:cs="Verdana" w:ascii="Verdana" w:hAnsi="Verdana"/>
          <w:b/>
          <w:color w:val="4472C4"/>
          <w:sz w:val="20"/>
          <w:szCs w:val="20"/>
        </w:rPr>
        <w:t>HOW TO USE THIS LETTER?</w:t>
      </w:r>
    </w:p>
    <w:p>
      <w:pPr>
        <w:pStyle w:val="LOnormal"/>
        <w:spacing w:lineRule="auto" w:line="360" w:before="0" w:after="0"/>
        <w:rPr>
          <w:rFonts w:ascii="Verdana" w:hAnsi="Verdana" w:eastAsia="Verdana" w:cs="Verdana"/>
          <w:color w:val="4472C4"/>
          <w:sz w:val="20"/>
          <w:szCs w:val="20"/>
        </w:rPr>
      </w:pPr>
      <w:r>
        <w:rPr>
          <w:rFonts w:eastAsia="Verdana" w:cs="Verdana" w:ascii="Verdana" w:hAnsi="Verdana"/>
          <w:color w:val="4472C4"/>
          <w:sz w:val="20"/>
          <w:szCs w:val="20"/>
        </w:rPr>
      </w:r>
    </w:p>
    <w:p>
      <w:pPr>
        <w:pStyle w:val="LOnormal"/>
        <w:numPr>
          <w:ilvl w:val="0"/>
          <w:numId w:val="9"/>
        </w:numPr>
        <w:spacing w:lineRule="auto" w:line="360" w:before="0" w:after="0"/>
        <w:ind w:left="567" w:hanging="567"/>
        <w:rPr>
          <w:rFonts w:ascii="Verdana" w:hAnsi="Verdana" w:eastAsia="Verdana" w:cs="Verdana"/>
          <w:color w:val="4472C4"/>
          <w:sz w:val="20"/>
          <w:szCs w:val="20"/>
        </w:rPr>
      </w:pPr>
      <w:r>
        <w:rPr>
          <w:rFonts w:eastAsia="Verdana" w:cs="Verdana" w:ascii="Verdana" w:hAnsi="Verdana"/>
          <w:color w:val="4472C4"/>
          <w:sz w:val="20"/>
          <w:szCs w:val="20"/>
        </w:rPr>
        <w:t xml:space="preserve">Read the letter carefully so that you understand what you are sending – this letter is </w:t>
      </w:r>
      <w:r>
        <w:rPr>
          <w:rFonts w:eastAsia="Verdana" w:cs="Verdana" w:ascii="Verdana" w:hAnsi="Verdana"/>
          <w:b/>
          <w:color w:val="4472C4"/>
          <w:sz w:val="20"/>
          <w:szCs w:val="20"/>
        </w:rPr>
        <w:t>your letter</w:t>
      </w:r>
      <w:r>
        <w:rPr>
          <w:rFonts w:eastAsia="Verdana" w:cs="Verdana" w:ascii="Verdana" w:hAnsi="Verdana"/>
          <w:color w:val="4472C4"/>
          <w:sz w:val="20"/>
          <w:szCs w:val="20"/>
        </w:rPr>
        <w:t>.</w:t>
      </w:r>
    </w:p>
    <w:p>
      <w:pPr>
        <w:pStyle w:val="LOnormal"/>
        <w:numPr>
          <w:ilvl w:val="0"/>
          <w:numId w:val="5"/>
        </w:numPr>
        <w:spacing w:lineRule="auto" w:line="360" w:before="0" w:after="0"/>
        <w:ind w:left="567" w:hanging="567"/>
        <w:rPr>
          <w:rFonts w:ascii="Verdana" w:hAnsi="Verdana" w:eastAsia="Verdana" w:cs="Verdana"/>
          <w:color w:val="4472C4"/>
          <w:sz w:val="20"/>
          <w:szCs w:val="20"/>
        </w:rPr>
      </w:pPr>
      <w:r>
        <w:rPr>
          <w:rFonts w:eastAsia="Verdana" w:cs="Verdana" w:ascii="Verdana" w:hAnsi="Verdana"/>
          <w:color w:val="4472C4"/>
          <w:sz w:val="20"/>
          <w:szCs w:val="20"/>
        </w:rPr>
        <w:t xml:space="preserve">The points you need to </w:t>
      </w:r>
      <w:r>
        <w:rPr>
          <w:rFonts w:eastAsia="Verdana" w:cs="Verdana" w:ascii="Verdana" w:hAnsi="Verdana"/>
          <w:color w:val="4472C4"/>
          <w:sz w:val="20"/>
          <w:szCs w:val="20"/>
          <w:highlight w:val="yellow"/>
        </w:rPr>
        <w:t>complete or closely consider for your situation are highlighted in yellow</w:t>
      </w:r>
      <w:r>
        <w:rPr>
          <w:rFonts w:eastAsia="Verdana" w:cs="Verdana" w:ascii="Verdana" w:hAnsi="Verdana"/>
          <w:color w:val="4472C4"/>
          <w:sz w:val="20"/>
          <w:szCs w:val="20"/>
        </w:rPr>
        <w:t>.  Keep this information factual and do not hesitate to get it checked by a friend, colleague or family member.</w:t>
      </w:r>
    </w:p>
    <w:p>
      <w:pPr>
        <w:pStyle w:val="LOnormal"/>
        <w:numPr>
          <w:ilvl w:val="0"/>
          <w:numId w:val="5"/>
        </w:numPr>
        <w:spacing w:lineRule="auto" w:line="360" w:before="0" w:after="0"/>
        <w:ind w:left="567" w:hanging="567"/>
        <w:rPr>
          <w:rFonts w:ascii="Verdana" w:hAnsi="Verdana" w:eastAsia="Verdana" w:cs="Verdana"/>
          <w:color w:val="4472C4"/>
          <w:sz w:val="20"/>
          <w:szCs w:val="20"/>
        </w:rPr>
      </w:pPr>
      <w:r>
        <w:rPr>
          <w:rFonts w:eastAsia="Verdana" w:cs="Verdana" w:ascii="Verdana" w:hAnsi="Verdana"/>
          <w:color w:val="4472C4"/>
          <w:sz w:val="20"/>
          <w:szCs w:val="20"/>
        </w:rPr>
        <w:t>This letter is only to be used in</w:t>
      </w:r>
      <w:r>
        <w:rPr>
          <w:color w:val="000000"/>
        </w:rPr>
        <w:t xml:space="preserve"> </w:t>
      </w:r>
      <w:r>
        <w:rPr>
          <w:rFonts w:eastAsia="Verdana" w:cs="Verdana" w:ascii="Verdana" w:hAnsi="Verdana"/>
          <w:color w:val="4472C4"/>
          <w:sz w:val="20"/>
          <w:szCs w:val="20"/>
        </w:rPr>
        <w:t>the situation where a business selling necessary or essential goods does not accept your exemption from wearing a face covering.</w:t>
      </w:r>
    </w:p>
    <w:p>
      <w:pPr>
        <w:pStyle w:val="LOnormal"/>
        <w:numPr>
          <w:ilvl w:val="0"/>
          <w:numId w:val="5"/>
        </w:numPr>
        <w:spacing w:lineRule="auto" w:line="360" w:before="0" w:after="0"/>
        <w:ind w:left="567" w:hanging="567"/>
        <w:rPr>
          <w:rFonts w:ascii="Verdana" w:hAnsi="Verdana" w:eastAsia="Verdana" w:cs="Verdana"/>
          <w:color w:val="4472C4"/>
          <w:sz w:val="20"/>
          <w:szCs w:val="20"/>
        </w:rPr>
      </w:pPr>
      <w:r>
        <w:rPr>
          <w:rFonts w:eastAsia="Verdana" w:cs="Verdana" w:ascii="Verdana" w:hAnsi="Verdana"/>
          <w:color w:val="4472C4"/>
          <w:sz w:val="20"/>
          <w:szCs w:val="20"/>
        </w:rPr>
        <w:t>Do not forget to include your email in the letter so the essential business knows where best to respond to you in writing.</w:t>
      </w:r>
    </w:p>
    <w:p>
      <w:pPr>
        <w:pStyle w:val="LOnormal"/>
        <w:numPr>
          <w:ilvl w:val="0"/>
          <w:numId w:val="5"/>
        </w:numPr>
        <w:spacing w:lineRule="auto" w:line="360" w:before="0" w:after="0"/>
        <w:ind w:left="567" w:hanging="567"/>
        <w:rPr>
          <w:rFonts w:ascii="Verdana" w:hAnsi="Verdana" w:eastAsia="Verdana" w:cs="Verdana"/>
          <w:color w:val="4472C4"/>
          <w:sz w:val="20"/>
          <w:szCs w:val="20"/>
        </w:rPr>
      </w:pPr>
      <w:r>
        <w:rPr>
          <w:rFonts w:eastAsia="Verdana" w:cs="Verdana" w:ascii="Verdana" w:hAnsi="Verdana"/>
          <w:color w:val="4472C4"/>
          <w:sz w:val="20"/>
          <w:szCs w:val="20"/>
        </w:rPr>
        <w:t>Sign off the letter.</w:t>
      </w:r>
    </w:p>
    <w:p>
      <w:pPr>
        <w:pStyle w:val="LOnormal"/>
        <w:numPr>
          <w:ilvl w:val="0"/>
          <w:numId w:val="5"/>
        </w:numPr>
        <w:spacing w:lineRule="auto" w:line="360" w:before="0" w:after="0"/>
        <w:ind w:left="567" w:hanging="567"/>
        <w:rPr>
          <w:rFonts w:ascii="Verdana" w:hAnsi="Verdana" w:eastAsia="Verdana" w:cs="Verdana"/>
          <w:color w:val="4472C4"/>
          <w:sz w:val="20"/>
          <w:szCs w:val="20"/>
        </w:rPr>
      </w:pPr>
      <w:r>
        <w:rPr>
          <w:rFonts w:eastAsia="Verdana" w:cs="Verdana" w:ascii="Verdana" w:hAnsi="Verdana"/>
          <w:color w:val="4472C4"/>
          <w:sz w:val="20"/>
          <w:szCs w:val="20"/>
        </w:rPr>
        <w:t>Print or email the letter – make sure you keep a copy.  DO NOT include the first 6 instruction pages with the letter.</w:t>
      </w:r>
    </w:p>
    <w:p>
      <w:pPr>
        <w:pStyle w:val="LOnormal"/>
        <w:spacing w:lineRule="auto" w:line="360" w:before="0" w:after="0"/>
        <w:rPr>
          <w:rFonts w:ascii="Verdana" w:hAnsi="Verdana" w:eastAsia="Verdana" w:cs="Verdana"/>
          <w:color w:val="4472C4"/>
          <w:sz w:val="20"/>
          <w:szCs w:val="20"/>
        </w:rPr>
      </w:pPr>
      <w:r>
        <w:rPr>
          <w:rFonts w:eastAsia="Verdana" w:cs="Verdana" w:ascii="Verdana" w:hAnsi="Verdana"/>
          <w:color w:val="4472C4"/>
          <w:sz w:val="20"/>
          <w:szCs w:val="20"/>
        </w:rPr>
      </w:r>
    </w:p>
    <w:p>
      <w:pPr>
        <w:sectPr>
          <w:headerReference w:type="default" r:id="rId9"/>
          <w:footerReference w:type="default" r:id="rId10"/>
          <w:footnotePr>
            <w:numFmt w:val="decimal"/>
          </w:footnotePr>
          <w:type w:val="nextPage"/>
          <w:pgSz w:w="12240" w:h="15840"/>
          <w:pgMar w:left="1440" w:right="1440" w:header="708" w:top="1440" w:footer="708" w:bottom="1440" w:gutter="0"/>
          <w:pgNumType w:start="1" w:fmt="decimal"/>
          <w:formProt w:val="false"/>
          <w:textDirection w:val="lrTb"/>
          <w:docGrid w:type="default" w:linePitch="100" w:charSpace="4096"/>
        </w:sectPr>
        <w:pStyle w:val="LOnormal"/>
        <w:spacing w:lineRule="auto" w:line="360" w:before="0" w:after="0"/>
        <w:rPr>
          <w:rFonts w:ascii="Verdana" w:hAnsi="Verdana" w:eastAsia="Verdana" w:cs="Verdana"/>
          <w:color w:val="4472C4"/>
          <w:sz w:val="20"/>
          <w:szCs w:val="20"/>
        </w:rPr>
      </w:pPr>
      <w:r>
        <w:rPr>
          <w:rFonts w:eastAsia="Verdana" w:cs="Verdana" w:ascii="Verdana" w:hAnsi="Verdana"/>
          <w:color w:val="4472C4"/>
          <w:sz w:val="20"/>
          <w:szCs w:val="20"/>
        </w:rPr>
        <w:t>The essential business may respond to this letter, and if they do, then you will need to consider their response, and may need to obtain advice specific to your situation.</w:t>
      </w:r>
    </w:p>
    <w:p>
      <w:pPr>
        <w:pStyle w:val="LOnormal"/>
        <w:spacing w:lineRule="auto" w:line="360" w:before="170" w:after="170"/>
        <w:rPr/>
      </w:pPr>
      <w:r>
        <w:rPr>
          <w:rFonts w:eastAsia="Verdana" w:cs="Verdana" w:ascii="Verdana" w:hAnsi="Verdana"/>
          <w:sz w:val="20"/>
          <w:szCs w:val="20"/>
        </w:rPr>
        <w:t xml:space="preserve">TO: </w:t>
      </w:r>
      <w:r>
        <w:rPr>
          <w:rFonts w:eastAsia="Verdana" w:cs="Verdana" w:ascii="Verdana" w:hAnsi="Verdana"/>
          <w:sz w:val="20"/>
          <w:szCs w:val="20"/>
          <w:highlight w:val="yellow"/>
        </w:rPr>
        <w:t>________________________________</w:t>
      </w:r>
      <w:r>
        <w:rPr>
          <w:rFonts w:eastAsia="Verdana" w:cs="Verdana" w:ascii="Verdana" w:hAnsi="Verdana"/>
          <w:sz w:val="20"/>
          <w:szCs w:val="20"/>
        </w:rPr>
        <w:tab/>
        <w:tab/>
        <w:tab/>
        <w:t xml:space="preserve">Date: </w:t>
      </w:r>
      <w:r>
        <w:rPr>
          <w:rFonts w:eastAsia="Verdana" w:cs="Verdana" w:ascii="Verdana" w:hAnsi="Verdana"/>
          <w:sz w:val="20"/>
          <w:szCs w:val="20"/>
          <w:highlight w:val="yellow"/>
        </w:rPr>
        <w:t>____________</w:t>
      </w:r>
    </w:p>
    <w:p>
      <w:pPr>
        <w:pStyle w:val="LOnormal"/>
        <w:spacing w:lineRule="auto" w:line="360" w:before="170" w:after="170"/>
        <w:rPr/>
      </w:pPr>
      <w:r>
        <w:rPr>
          <w:rFonts w:eastAsia="Verdana" w:cs="Verdana" w:ascii="Verdana" w:hAnsi="Verdana"/>
          <w:b/>
          <w:sz w:val="20"/>
          <w:szCs w:val="20"/>
        </w:rPr>
        <w:t>Attention:</w:t>
      </w:r>
      <w:r>
        <w:rPr>
          <w:rFonts w:eastAsia="Verdana" w:cs="Verdana" w:ascii="Verdana" w:hAnsi="Verdana"/>
          <w:sz w:val="20"/>
          <w:szCs w:val="20"/>
        </w:rPr>
        <w:t xml:space="preserve"> Owner and Management </w:t>
      </w:r>
    </w:p>
    <w:p>
      <w:pPr>
        <w:pStyle w:val="LOnormal"/>
        <w:spacing w:lineRule="auto" w:line="360" w:before="170" w:after="170"/>
        <w:rPr/>
      </w:pPr>
      <w:r>
        <w:rPr>
          <w:rFonts w:eastAsia="Verdana" w:cs="Verdana" w:ascii="Verdana" w:hAnsi="Verdana"/>
          <w:b/>
          <w:sz w:val="20"/>
          <w:szCs w:val="20"/>
        </w:rPr>
        <w:t>DENIAL OF ACCESS TO ESSENTIAL PRODUCTS / SERVICES</w:t>
      </w:r>
    </w:p>
    <w:p>
      <w:pPr>
        <w:pStyle w:val="LOnormal"/>
        <w:numPr>
          <w:ilvl w:val="0"/>
          <w:numId w:val="3"/>
        </w:numPr>
        <w:spacing w:lineRule="auto" w:line="360" w:before="170" w:after="170"/>
        <w:ind w:left="720" w:hanging="720"/>
        <w:rPr/>
      </w:pPr>
      <w:r>
        <w:rPr>
          <w:rFonts w:eastAsia="Verdana" w:cs="Verdana" w:ascii="Verdana" w:hAnsi="Verdana"/>
          <w:sz w:val="20"/>
          <w:szCs w:val="20"/>
        </w:rPr>
        <w:t>I am writing to inform you of a situation where my right to access your premises has been refused on the basis that I was not wearing a face covering, although I informed you/your staff that I had an exemption for not doing so.  Refusal to accept my exemption on face value is a violation of my rights and is discrimination.</w:t>
      </w:r>
    </w:p>
    <w:p>
      <w:pPr>
        <w:pStyle w:val="LOnormal"/>
        <w:spacing w:lineRule="auto" w:line="360" w:before="170" w:after="170"/>
        <w:rPr/>
      </w:pPr>
      <w:r>
        <w:rPr>
          <w:rFonts w:eastAsia="Verdana" w:cs="Verdana" w:ascii="Verdana" w:hAnsi="Verdana"/>
          <w:b/>
          <w:sz w:val="20"/>
          <w:szCs w:val="20"/>
        </w:rPr>
        <w:t>What is the law?</w:t>
      </w:r>
    </w:p>
    <w:p>
      <w:pPr>
        <w:pStyle w:val="LOnormal"/>
        <w:spacing w:lineRule="auto" w:line="360" w:before="170" w:after="170"/>
        <w:rPr/>
      </w:pPr>
      <w:r>
        <w:rPr>
          <w:rFonts w:eastAsia="Verdana" w:cs="Verdana" w:ascii="Verdana" w:hAnsi="Verdana"/>
          <w:b/>
          <w:sz w:val="20"/>
          <w:szCs w:val="20"/>
        </w:rPr>
        <w:tab/>
        <w:t>Essential business</w:t>
      </w:r>
    </w:p>
    <w:p>
      <w:pPr>
        <w:pStyle w:val="LOnormal"/>
        <w:numPr>
          <w:ilvl w:val="0"/>
          <w:numId w:val="3"/>
        </w:numPr>
        <w:spacing w:lineRule="auto" w:line="360" w:before="170" w:after="170"/>
        <w:ind w:left="720" w:hanging="720"/>
        <w:rPr/>
      </w:pPr>
      <w:r>
        <w:rPr>
          <w:rFonts w:eastAsia="Verdana" w:cs="Verdana" w:ascii="Verdana" w:hAnsi="Verdana"/>
          <w:sz w:val="20"/>
          <w:szCs w:val="20"/>
        </w:rPr>
        <w:t>Your business is an essential or necessary business which is lawfully permitted to remain open in Red under the current Traffic Light regime.</w:t>
      </w:r>
    </w:p>
    <w:p>
      <w:pPr>
        <w:pStyle w:val="LOnormal"/>
        <w:spacing w:lineRule="auto" w:line="360" w:before="170" w:after="170"/>
        <w:ind w:left="720" w:hanging="0"/>
        <w:rPr>
          <w:b/>
          <w:b/>
          <w:bCs/>
        </w:rPr>
      </w:pPr>
      <w:r>
        <w:rPr>
          <w:rFonts w:eastAsia="Verdana" w:cs="Verdana" w:ascii="Verdana" w:hAnsi="Verdana"/>
          <w:b/>
          <w:bCs/>
          <w:sz w:val="20"/>
          <w:szCs w:val="20"/>
        </w:rPr>
        <w:t>Exemptions</w:t>
      </w:r>
    </w:p>
    <w:p>
      <w:pPr>
        <w:pStyle w:val="LOnormal"/>
        <w:numPr>
          <w:ilvl w:val="0"/>
          <w:numId w:val="3"/>
        </w:numPr>
        <w:spacing w:lineRule="auto" w:line="360" w:before="170" w:after="170"/>
        <w:ind w:left="720" w:hanging="720"/>
        <w:rPr/>
      </w:pPr>
      <w:r>
        <w:rPr>
          <w:rFonts w:eastAsia="Verdana" w:cs="Verdana" w:ascii="Verdana" w:hAnsi="Verdana"/>
          <w:color w:val="000000"/>
          <w:sz w:val="20"/>
          <w:szCs w:val="20"/>
        </w:rPr>
        <w:t xml:space="preserve">The wearing of a face covering by customers visiting your premises is required by clause 23 (or 23A) of the </w:t>
      </w:r>
      <w:r>
        <w:rPr>
          <w:rFonts w:eastAsia="Verdana" w:cs="Verdana" w:ascii="Verdana" w:hAnsi="Verdana"/>
          <w:i/>
          <w:iCs/>
          <w:color w:val="000000"/>
          <w:sz w:val="20"/>
          <w:szCs w:val="20"/>
        </w:rPr>
        <w:t>COVID-19 Health Response (Protection Framework) Order 2021</w:t>
      </w:r>
      <w:r>
        <w:rPr>
          <w:rFonts w:eastAsia="Verdana" w:cs="Verdana" w:ascii="Verdana" w:hAnsi="Verdana"/>
          <w:color w:val="000000"/>
          <w:sz w:val="20"/>
          <w:szCs w:val="20"/>
        </w:rPr>
        <w:t xml:space="preserve"> (</w:t>
      </w:r>
      <w:r>
        <w:rPr>
          <w:rFonts w:eastAsia="Verdana" w:cs="Verdana" w:ascii="Verdana" w:hAnsi="Verdana"/>
          <w:b/>
          <w:bCs/>
          <w:color w:val="000000"/>
          <w:sz w:val="20"/>
          <w:szCs w:val="20"/>
        </w:rPr>
        <w:t>Orders</w:t>
      </w:r>
      <w:r>
        <w:rPr>
          <w:rFonts w:eastAsia="Verdana" w:cs="Verdana" w:ascii="Verdana" w:hAnsi="Verdana"/>
          <w:color w:val="000000"/>
          <w:sz w:val="20"/>
          <w:szCs w:val="20"/>
        </w:rPr>
        <w:t>). Both provisions are subject to an exemption, which is covered by clause 11 of the Order:</w:t>
      </w:r>
    </w:p>
    <w:p>
      <w:pPr>
        <w:pStyle w:val="LOnormal"/>
        <w:spacing w:lineRule="auto" w:line="360" w:before="170" w:after="170"/>
        <w:ind w:left="720" w:hanging="0"/>
        <w:rPr>
          <w:rFonts w:ascii="Verdana" w:hAnsi="Verdana" w:eastAsia="Verdana" w:cs="Verdana"/>
          <w:color w:val="000000"/>
          <w:sz w:val="20"/>
          <w:szCs w:val="20"/>
        </w:rPr>
      </w:pPr>
      <w:r>
        <w:rPr>
          <w:rFonts w:eastAsia="Verdana" w:cs="Verdana" w:ascii="Verdana" w:hAnsi="Verdana"/>
          <w:color w:val="000000"/>
          <w:sz w:val="20"/>
          <w:szCs w:val="20"/>
        </w:rPr>
        <w:drawing>
          <wp:anchor behindDoc="0" distT="0" distB="0" distL="0" distR="0" simplePos="0" locked="0" layoutInCell="1" allowOverlap="1" relativeHeight="3">
            <wp:simplePos x="0" y="0"/>
            <wp:positionH relativeFrom="column">
              <wp:align>center</wp:align>
            </wp:positionH>
            <wp:positionV relativeFrom="paragraph">
              <wp:posOffset>635</wp:posOffset>
            </wp:positionV>
            <wp:extent cx="4779645" cy="3340735"/>
            <wp:effectExtent l="0" t="0" r="0" b="0"/>
            <wp:wrapSquare wrapText="largest"/>
            <wp:docPr id="4"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descr=""/>
                    <pic:cNvPicPr>
                      <a:picLocks noChangeAspect="1" noChangeArrowheads="1"/>
                    </pic:cNvPicPr>
                  </pic:nvPicPr>
                  <pic:blipFill>
                    <a:blip r:embed="rId11"/>
                    <a:stretch>
                      <a:fillRect/>
                    </a:stretch>
                  </pic:blipFill>
                  <pic:spPr bwMode="auto">
                    <a:xfrm>
                      <a:off x="0" y="0"/>
                      <a:ext cx="4779645" cy="3340735"/>
                    </a:xfrm>
                    <a:prstGeom prst="rect">
                      <a:avLst/>
                    </a:prstGeom>
                  </pic:spPr>
                </pic:pic>
              </a:graphicData>
            </a:graphic>
          </wp:anchor>
        </w:drawing>
      </w:r>
    </w:p>
    <w:p>
      <w:pPr>
        <w:pStyle w:val="LOnormal"/>
        <w:spacing w:lineRule="auto" w:line="360" w:before="170" w:after="170"/>
        <w:ind w:left="720" w:hanging="0"/>
        <w:rPr>
          <w:rFonts w:ascii="Verdana" w:hAnsi="Verdana" w:eastAsia="Verdana" w:cs="Verdana"/>
          <w:color w:val="000000"/>
          <w:sz w:val="20"/>
          <w:szCs w:val="20"/>
        </w:rPr>
      </w:pPr>
      <w:r>
        <w:rPr>
          <w:rFonts w:eastAsia="Verdana" w:cs="Verdana" w:ascii="Verdana" w:hAnsi="Verdana"/>
          <w:color w:val="000000"/>
          <w:sz w:val="20"/>
          <w:szCs w:val="20"/>
        </w:rPr>
      </w:r>
    </w:p>
    <w:p>
      <w:pPr>
        <w:pStyle w:val="LOnormal"/>
        <w:spacing w:lineRule="auto" w:line="360" w:before="170" w:after="170"/>
        <w:ind w:left="720" w:hanging="0"/>
        <w:rPr>
          <w:rFonts w:ascii="Verdana" w:hAnsi="Verdana" w:eastAsia="Verdana" w:cs="Verdana"/>
          <w:color w:val="000000"/>
          <w:sz w:val="20"/>
          <w:szCs w:val="20"/>
        </w:rPr>
      </w:pPr>
      <w:r>
        <w:rPr>
          <w:rFonts w:eastAsia="Verdana" w:cs="Verdana" w:ascii="Verdana" w:hAnsi="Verdana"/>
          <w:color w:val="000000"/>
          <w:sz w:val="20"/>
          <w:szCs w:val="20"/>
        </w:rPr>
      </w:r>
      <w:r>
        <w:br w:type="page"/>
      </w:r>
    </w:p>
    <w:p>
      <w:pPr>
        <w:pStyle w:val="LOnormal"/>
        <w:numPr>
          <w:ilvl w:val="0"/>
          <w:numId w:val="3"/>
        </w:numPr>
        <w:spacing w:lineRule="auto" w:line="360" w:before="170" w:after="170"/>
        <w:ind w:left="720" w:hanging="720"/>
        <w:rPr/>
      </w:pPr>
      <w:r>
        <w:rPr>
          <w:rFonts w:eastAsia="Verdana" w:cs="Verdana" w:ascii="Verdana" w:hAnsi="Verdana"/>
          <w:color w:val="000000"/>
          <w:sz w:val="20"/>
          <w:szCs w:val="20"/>
        </w:rPr>
        <w:t xml:space="preserve">That means that apart from the other specific circumstances mentioned, a customer is exempt from wearing a face covering if it is not suitable because of a physical or mental illness, condition or disability that they have, or it is not safe to wear a face covering in all of the circumstances. </w:t>
      </w:r>
    </w:p>
    <w:p>
      <w:pPr>
        <w:pStyle w:val="LOnormal"/>
        <w:spacing w:lineRule="auto" w:line="360" w:before="170" w:after="170"/>
        <w:ind w:left="720" w:hanging="0"/>
        <w:rPr/>
      </w:pPr>
      <w:r>
        <w:rPr>
          <w:rFonts w:eastAsia="Verdana" w:cs="Verdana" w:ascii="Verdana" w:hAnsi="Verdana"/>
          <w:b/>
          <w:bCs/>
          <w:color w:val="000000"/>
          <w:sz w:val="20"/>
          <w:szCs w:val="20"/>
        </w:rPr>
        <w:t>Exemption are self-regulating and exemption cards are not a legal requirement</w:t>
      </w:r>
    </w:p>
    <w:p>
      <w:pPr>
        <w:pStyle w:val="LOnormal"/>
        <w:numPr>
          <w:ilvl w:val="0"/>
          <w:numId w:val="3"/>
        </w:numPr>
        <w:spacing w:lineRule="auto" w:line="360" w:before="170" w:after="170"/>
        <w:ind w:left="720" w:hanging="720"/>
        <w:rPr/>
      </w:pPr>
      <w:r>
        <w:rPr>
          <w:rFonts w:eastAsia="Verdana" w:cs="Verdana" w:ascii="Verdana" w:hAnsi="Verdana"/>
          <w:color w:val="000000"/>
          <w:sz w:val="20"/>
          <w:szCs w:val="20"/>
        </w:rPr>
        <w:t xml:space="preserve">The Government’s COVID-19 website suggests that these customers </w:t>
      </w:r>
      <w:r>
        <w:rPr>
          <w:rFonts w:eastAsia="Verdana" w:cs="Verdana" w:ascii="Verdana" w:hAnsi="Verdana"/>
          <w:b/>
          <w:i/>
          <w:color w:val="000000"/>
          <w:sz w:val="20"/>
          <w:szCs w:val="20"/>
        </w:rPr>
        <w:t>may</w:t>
      </w:r>
      <w:r>
        <w:rPr>
          <w:rFonts w:eastAsia="Verdana" w:cs="Verdana" w:ascii="Verdana" w:hAnsi="Verdana"/>
          <w:color w:val="000000"/>
          <w:sz w:val="20"/>
          <w:szCs w:val="20"/>
        </w:rPr>
        <w:t xml:space="preserve"> carry an exemption card from Disabled Persons Assembly NZ.</w:t>
      </w:r>
      <w:r>
        <w:rPr>
          <w:rStyle w:val="FootnoteAnchor"/>
          <w:rFonts w:eastAsia="Verdana" w:cs="Verdana" w:ascii="Verdana" w:hAnsi="Verdana"/>
          <w:color w:val="000000"/>
          <w:sz w:val="20"/>
          <w:szCs w:val="20"/>
        </w:rPr>
        <w:footnoteReference w:id="8"/>
      </w:r>
      <w:r>
        <w:rPr>
          <w:rFonts w:eastAsia="Verdana" w:cs="Verdana" w:ascii="Verdana" w:hAnsi="Verdana"/>
          <w:color w:val="000000"/>
          <w:sz w:val="20"/>
          <w:szCs w:val="20"/>
        </w:rPr>
        <w:t xml:space="preserve"> Further, in early April 2022, the MOH bought in a mask exemption card called a ”Communication Card”.  These cards are the same as the ones issued by the Disabled Persons Assembly (but now specifying reasons).  The MOH website states that: </w:t>
      </w:r>
    </w:p>
    <w:p>
      <w:pPr>
        <w:pStyle w:val="LOnormal"/>
        <w:spacing w:lineRule="auto" w:line="240" w:before="170" w:after="170"/>
        <w:ind w:left="1514" w:hanging="0"/>
        <w:rPr>
          <w:i/>
          <w:i/>
          <w:iCs/>
        </w:rPr>
      </w:pPr>
      <w:r>
        <w:rPr>
          <w:rFonts w:eastAsia="Verdana" w:cs="Verdana" w:ascii="Verdana" w:hAnsi="Verdana"/>
          <w:i/>
          <w:iCs/>
          <w:color w:val="000000"/>
          <w:sz w:val="20"/>
          <w:szCs w:val="20"/>
        </w:rPr>
        <w:t>“</w:t>
      </w:r>
      <w:r>
        <w:rPr>
          <w:rFonts w:eastAsia="Verdana" w:cs="Verdana" w:ascii="Verdana" w:hAnsi="Verdana"/>
          <w:i/>
          <w:iCs/>
          <w:color w:val="000000"/>
          <w:sz w:val="20"/>
          <w:szCs w:val="20"/>
        </w:rPr>
        <w:t xml:space="preserve">A Communication Card has been developed for you to show to transport operators, retailers and service providers. These make it easier to explain that a face mask is unsuitable for you. </w:t>
      </w:r>
      <w:r>
        <w:rPr>
          <w:rFonts w:eastAsia="Verdana" w:cs="Verdana" w:ascii="Verdana" w:hAnsi="Verdana"/>
          <w:b/>
          <w:bCs/>
          <w:i/>
          <w:iCs/>
          <w:color w:val="000000"/>
          <w:sz w:val="20"/>
          <w:szCs w:val="20"/>
        </w:rPr>
        <w:t xml:space="preserve">There is </w:t>
      </w:r>
      <w:r>
        <w:rPr>
          <w:rFonts w:eastAsia="Verdana" w:cs="Verdana" w:ascii="Verdana" w:hAnsi="Verdana"/>
          <w:b/>
          <w:bCs/>
          <w:i/>
          <w:iCs/>
          <w:color w:val="000000"/>
          <w:sz w:val="20"/>
          <w:szCs w:val="20"/>
          <w:u w:val="single"/>
        </w:rPr>
        <w:t>no legal requirement</w:t>
      </w:r>
      <w:r>
        <w:rPr>
          <w:rFonts w:eastAsia="Verdana" w:cs="Verdana" w:ascii="Verdana" w:hAnsi="Verdana"/>
          <w:b/>
          <w:bCs/>
          <w:i/>
          <w:iCs/>
          <w:color w:val="000000"/>
          <w:sz w:val="20"/>
          <w:szCs w:val="20"/>
        </w:rPr>
        <w:t xml:space="preserve"> to carry a Communication Card, though many choose to do so.</w:t>
      </w:r>
      <w:r>
        <w:rPr>
          <w:rFonts w:eastAsia="Verdana" w:cs="Verdana" w:ascii="Verdana" w:hAnsi="Verdana"/>
          <w:i/>
          <w:iCs/>
          <w:color w:val="000000"/>
          <w:sz w:val="20"/>
          <w:szCs w:val="20"/>
        </w:rPr>
        <w:t>”</w:t>
      </w:r>
      <w:r>
        <w:rPr>
          <w:rStyle w:val="FootnoteAnchor"/>
          <w:rFonts w:eastAsia="Verdana" w:cs="Verdana" w:ascii="Verdana" w:hAnsi="Verdana"/>
          <w:i/>
          <w:iCs/>
          <w:color w:val="000000"/>
          <w:sz w:val="20"/>
          <w:szCs w:val="20"/>
        </w:rPr>
        <w:footnoteReference w:id="9"/>
      </w:r>
    </w:p>
    <w:p>
      <w:pPr>
        <w:pStyle w:val="LOnormal"/>
        <w:numPr>
          <w:ilvl w:val="0"/>
          <w:numId w:val="3"/>
        </w:numPr>
        <w:spacing w:lineRule="auto" w:line="360" w:before="170" w:after="170"/>
        <w:ind w:left="720" w:hanging="720"/>
        <w:rPr/>
      </w:pPr>
      <w:r>
        <w:rPr>
          <w:rFonts w:eastAsia="Verdana" w:cs="Verdana" w:ascii="Verdana" w:hAnsi="Verdana"/>
          <w:color w:val="000000"/>
          <w:sz w:val="20"/>
          <w:szCs w:val="20"/>
        </w:rPr>
        <w:t>The Communication Card is still valid.</w:t>
      </w:r>
    </w:p>
    <w:p>
      <w:pPr>
        <w:pStyle w:val="LOnormal"/>
        <w:numPr>
          <w:ilvl w:val="0"/>
          <w:numId w:val="3"/>
        </w:numPr>
        <w:spacing w:lineRule="auto" w:line="360" w:before="170" w:after="170"/>
        <w:ind w:left="720" w:hanging="720"/>
        <w:rPr/>
      </w:pPr>
      <w:r>
        <w:rPr>
          <w:rFonts w:eastAsia="Verdana" w:cs="Verdana" w:ascii="Verdana" w:hAnsi="Verdana"/>
          <w:color w:val="000000"/>
          <w:sz w:val="20"/>
          <w:szCs w:val="20"/>
        </w:rPr>
        <w:t>In June 2022, the MOH brought in a personalised Face Mask Exemption Pass. The Pass provides conclusive evidence that the holder is exempt under law from wearing a face mask and should be treated no differently to a person who can wear a mask (clause 106A and clause 11(3)(l) of the Orders).</w:t>
      </w:r>
      <w:r>
        <w:rPr>
          <w:rStyle w:val="FootnoteAnchor"/>
          <w:rFonts w:eastAsia="Verdana" w:cs="Verdana" w:ascii="Verdana" w:hAnsi="Verdana"/>
          <w:color w:val="000000"/>
          <w:sz w:val="20"/>
          <w:szCs w:val="20"/>
        </w:rPr>
        <w:footnoteReference w:id="10"/>
      </w:r>
    </w:p>
    <w:p>
      <w:pPr>
        <w:pStyle w:val="LOnormal"/>
        <w:numPr>
          <w:ilvl w:val="0"/>
          <w:numId w:val="3"/>
        </w:numPr>
        <w:spacing w:lineRule="auto" w:line="360" w:before="170" w:after="170"/>
        <w:ind w:left="720" w:hanging="720"/>
        <w:rPr>
          <w:color w:val="000000"/>
        </w:rPr>
      </w:pPr>
      <w:r>
        <w:rPr>
          <w:rFonts w:eastAsia="Verdana" w:cs="Verdana" w:ascii="Verdana" w:hAnsi="Verdana"/>
          <w:color w:val="000000"/>
          <w:sz w:val="20"/>
          <w:szCs w:val="20"/>
        </w:rPr>
        <w:t xml:space="preserve">Again, all of these cards/passes are optional and </w:t>
      </w:r>
      <w:r>
        <w:rPr>
          <w:rFonts w:eastAsia="Verdana" w:cs="Verdana" w:ascii="Verdana" w:hAnsi="Verdana"/>
          <w:b/>
          <w:bCs/>
          <w:color w:val="000000"/>
          <w:sz w:val="20"/>
          <w:szCs w:val="20"/>
        </w:rPr>
        <w:t>not a legal requirement</w:t>
      </w:r>
      <w:r>
        <w:rPr>
          <w:rFonts w:eastAsia="Verdana" w:cs="Verdana" w:ascii="Verdana" w:hAnsi="Verdana"/>
          <w:color w:val="000000"/>
          <w:sz w:val="20"/>
          <w:szCs w:val="20"/>
        </w:rPr>
        <w:t>.</w:t>
      </w:r>
      <w:r>
        <w:rPr>
          <w:rStyle w:val="FootnoteAnchor"/>
          <w:rFonts w:eastAsia="Verdana" w:cs="Verdana" w:ascii="Verdana" w:hAnsi="Verdana"/>
          <w:color w:val="000000"/>
          <w:sz w:val="20"/>
          <w:szCs w:val="20"/>
        </w:rPr>
        <w:footnoteReference w:id="11"/>
      </w:r>
    </w:p>
    <w:p>
      <w:pPr>
        <w:pStyle w:val="LOnormal"/>
        <w:numPr>
          <w:ilvl w:val="0"/>
          <w:numId w:val="3"/>
        </w:numPr>
        <w:spacing w:lineRule="auto" w:line="360" w:before="170" w:after="170"/>
        <w:ind w:left="720" w:hanging="720"/>
        <w:rPr/>
      </w:pPr>
      <w:r>
        <w:rPr>
          <w:rFonts w:eastAsia="Verdana" w:cs="Verdana" w:ascii="Verdana" w:hAnsi="Verdana"/>
          <w:color w:val="000000"/>
          <w:sz w:val="20"/>
          <w:szCs w:val="20"/>
        </w:rPr>
        <w:t>Therefore, it is not a compulsory requirement and an exemption arises on the valid grounds specified in the Order.  If a person does not elect to obtain an exemption card, then you must accept their exemption/s at face-value.  It is not for you to consider the validity of the exemption offered.</w:t>
      </w:r>
      <w:r>
        <w:br w:type="page"/>
      </w:r>
    </w:p>
    <w:p>
      <w:pPr>
        <w:pStyle w:val="LOnormal"/>
        <w:spacing w:lineRule="auto" w:line="360" w:before="170" w:after="170"/>
        <w:ind w:left="720" w:hanging="0"/>
        <w:rPr>
          <w:b/>
          <w:b/>
          <w:bCs/>
        </w:rPr>
      </w:pPr>
      <w:r>
        <w:rPr>
          <w:rFonts w:eastAsia="Verdana" w:cs="Verdana" w:ascii="Verdana" w:hAnsi="Verdana"/>
          <w:b/>
          <w:bCs/>
          <w:color w:val="000000"/>
          <w:sz w:val="20"/>
          <w:szCs w:val="20"/>
        </w:rPr>
        <w:t>Laws breached</w:t>
      </w:r>
    </w:p>
    <w:p>
      <w:pPr>
        <w:pStyle w:val="LOnormal"/>
        <w:numPr>
          <w:ilvl w:val="0"/>
          <w:numId w:val="3"/>
        </w:numPr>
        <w:spacing w:lineRule="auto" w:line="360" w:before="170" w:after="170"/>
        <w:ind w:left="720" w:hanging="720"/>
        <w:rPr/>
      </w:pPr>
      <w:r>
        <w:rPr>
          <w:rFonts w:eastAsia="Verdana" w:cs="Verdana" w:ascii="Verdana" w:hAnsi="Verdana"/>
          <w:color w:val="000000"/>
          <w:sz w:val="20"/>
          <w:szCs w:val="20"/>
        </w:rPr>
        <w:t>Failure to respect a personalised Face Mask Exemption Pass and to treat a person differently because of that is a breach of clause 106A(1) of the Orders.</w:t>
      </w:r>
    </w:p>
    <w:p>
      <w:pPr>
        <w:pStyle w:val="LOnormal"/>
        <w:numPr>
          <w:ilvl w:val="0"/>
          <w:numId w:val="3"/>
        </w:numPr>
        <w:spacing w:lineRule="auto" w:line="360" w:before="170" w:after="170"/>
        <w:ind w:left="720" w:hanging="720"/>
        <w:rPr/>
      </w:pPr>
      <w:r>
        <w:rPr>
          <w:rFonts w:eastAsia="Verdana" w:cs="Verdana" w:ascii="Verdana" w:hAnsi="Verdana"/>
          <w:color w:val="000000"/>
          <w:sz w:val="20"/>
          <w:szCs w:val="20"/>
        </w:rPr>
        <w:t xml:space="preserve">Further, it would be a breach of Information Privacy Principle 1 of the Privacy Act 2020 if you asked for details of the customer’s illness, condition or disability. You do not need that information, nor are you entitled to know it. </w:t>
      </w:r>
    </w:p>
    <w:p>
      <w:pPr>
        <w:pStyle w:val="LOnormal"/>
        <w:numPr>
          <w:ilvl w:val="0"/>
          <w:numId w:val="3"/>
        </w:numPr>
        <w:spacing w:lineRule="auto" w:line="360" w:before="170" w:after="170"/>
        <w:ind w:left="720" w:hanging="720"/>
        <w:rPr/>
      </w:pPr>
      <w:r>
        <w:rPr>
          <w:rFonts w:eastAsia="Verdana" w:cs="Verdana" w:ascii="Verdana" w:hAnsi="Verdana"/>
          <w:color w:val="000000"/>
          <w:sz w:val="20"/>
          <w:szCs w:val="20"/>
        </w:rPr>
        <w:t>It is a fundamental right of every New Zealander to be able to obtain goods and services without discrimination as codified in the Human Rights Act which clearly states:</w:t>
      </w:r>
    </w:p>
    <w:p>
      <w:pPr>
        <w:pStyle w:val="LOnormal"/>
        <w:spacing w:lineRule="auto" w:line="240" w:before="0" w:after="0"/>
        <w:ind w:left="1418" w:hanging="0"/>
        <w:rPr>
          <w:rFonts w:ascii="Times New Roman" w:hAnsi="Times New Roman" w:eastAsia="Times New Roman" w:cs="Times New Roman"/>
        </w:rPr>
      </w:pPr>
      <w:r>
        <w:rPr>
          <w:rFonts w:eastAsia="Times New Roman" w:cs="Times New Roman" w:ascii="Times New Roman" w:hAnsi="Times New Roman"/>
        </w:rPr>
        <w:t xml:space="preserve">It shall be unlawful for any person who supplies goods, facilities, or services to </w:t>
      </w:r>
    </w:p>
    <w:p>
      <w:pPr>
        <w:pStyle w:val="LOnormal"/>
        <w:spacing w:lineRule="auto" w:line="240" w:before="0" w:after="0"/>
        <w:ind w:left="1418" w:hanging="0"/>
        <w:rPr/>
      </w:pPr>
      <w:r>
        <w:rPr>
          <w:rFonts w:eastAsia="Times New Roman" w:cs="Times New Roman" w:ascii="Times New Roman" w:hAnsi="Times New Roman"/>
        </w:rPr>
        <w:t>the public or to any section of the public—</w:t>
      </w:r>
    </w:p>
    <w:p>
      <w:pPr>
        <w:pStyle w:val="LOnormal"/>
        <w:numPr>
          <w:ilvl w:val="0"/>
          <w:numId w:val="4"/>
        </w:numPr>
        <w:spacing w:lineRule="auto" w:line="240" w:before="0" w:after="0"/>
        <w:ind w:left="2116" w:hanging="697"/>
        <w:rPr/>
      </w:pPr>
      <w:r>
        <w:rPr>
          <w:rFonts w:eastAsia="Times New Roman" w:cs="Times New Roman" w:ascii="Times New Roman" w:hAnsi="Times New Roman"/>
          <w:color w:val="000000"/>
        </w:rPr>
        <w:t>to refuse or fail on demand to provide any other person with those goods, facilities, or services; or</w:t>
      </w:r>
    </w:p>
    <w:p>
      <w:pPr>
        <w:pStyle w:val="LOnormal"/>
        <w:numPr>
          <w:ilvl w:val="0"/>
          <w:numId w:val="4"/>
        </w:numPr>
        <w:spacing w:lineRule="auto" w:line="240" w:before="0" w:after="0"/>
        <w:ind w:left="2116" w:hanging="697"/>
        <w:rPr/>
      </w:pPr>
      <w:r>
        <w:rPr>
          <w:rFonts w:eastAsia="Times New Roman" w:cs="Times New Roman" w:ascii="Times New Roman" w:hAnsi="Times New Roman"/>
          <w:color w:val="000000"/>
        </w:rPr>
        <w:t>to treat any other person less favourably in connection with the provision of those goods, facilities, or services than would otherwise be the case, by reason of any</w:t>
      </w:r>
    </w:p>
    <w:p>
      <w:pPr>
        <w:pStyle w:val="LOnormal"/>
        <w:spacing w:lineRule="auto" w:line="240" w:before="0" w:after="0"/>
        <w:ind w:left="1418" w:hanging="0"/>
        <w:rPr/>
      </w:pPr>
      <w:r>
        <w:rPr>
          <w:rFonts w:eastAsia="Times New Roman" w:cs="Times New Roman" w:ascii="Times New Roman" w:hAnsi="Times New Roman"/>
        </w:rPr>
        <w:t xml:space="preserve"> </w:t>
      </w:r>
      <w:r>
        <w:rPr>
          <w:rFonts w:eastAsia="Times New Roman" w:cs="Times New Roman" w:ascii="Times New Roman" w:hAnsi="Times New Roman"/>
        </w:rPr>
        <w:tab/>
        <w:t>of the prohibited grounds of discrimination.</w:t>
      </w:r>
      <w:r>
        <w:rPr>
          <w:rStyle w:val="FootnoteAnchor"/>
          <w:rFonts w:eastAsia="Times New Roman" w:cs="Times New Roman" w:ascii="Times New Roman" w:hAnsi="Times New Roman"/>
        </w:rPr>
        <w:footnoteReference w:id="12"/>
      </w:r>
    </w:p>
    <w:p>
      <w:pPr>
        <w:pStyle w:val="LOnormal"/>
        <w:spacing w:lineRule="auto" w:line="240" w:before="0" w:after="0"/>
        <w:ind w:left="1418" w:hanging="0"/>
        <w:rPr>
          <w:rFonts w:ascii="Times New Roman" w:hAnsi="Times New Roman" w:eastAsia="Times New Roman" w:cs="Times New Roman"/>
        </w:rPr>
      </w:pPr>
      <w:r>
        <w:rPr>
          <w:rFonts w:eastAsia="Times New Roman" w:cs="Times New Roman" w:ascii="Times New Roman" w:hAnsi="Times New Roman"/>
        </w:rPr>
      </w:r>
    </w:p>
    <w:p>
      <w:pPr>
        <w:pStyle w:val="LOnormal"/>
        <w:numPr>
          <w:ilvl w:val="0"/>
          <w:numId w:val="3"/>
        </w:numPr>
        <w:spacing w:lineRule="auto" w:line="360" w:before="170" w:after="170"/>
        <w:ind w:left="720" w:hanging="720"/>
        <w:rPr/>
      </w:pPr>
      <w:r>
        <w:rPr>
          <w:rFonts w:eastAsia="Verdana" w:cs="Verdana" w:ascii="Verdana" w:hAnsi="Verdana"/>
          <w:color w:val="000000"/>
          <w:sz w:val="20"/>
          <w:szCs w:val="20"/>
        </w:rPr>
        <w:t>A failure to observe a customer's exemption from wearing a face covering which arises out of a disability or condition is a prohibited ground of discrimination under the Human Rights Act and is unlawful.</w:t>
      </w:r>
      <w:r>
        <w:rPr>
          <w:rStyle w:val="FootnoteAnchor"/>
          <w:rFonts w:eastAsia="Verdana" w:cs="Verdana" w:ascii="Verdana" w:hAnsi="Verdana"/>
          <w:color w:val="000000"/>
          <w:sz w:val="20"/>
          <w:szCs w:val="20"/>
        </w:rPr>
        <w:footnoteReference w:id="13"/>
      </w:r>
      <w:r>
        <w:rPr>
          <w:rFonts w:eastAsia="Verdana" w:cs="Verdana" w:ascii="Verdana" w:hAnsi="Verdana"/>
          <w:color w:val="000000"/>
          <w:sz w:val="20"/>
          <w:szCs w:val="20"/>
        </w:rPr>
        <w:t xml:space="preserve">  This can give rise to a complaint to the Human Rights Commissioner.  </w:t>
      </w:r>
    </w:p>
    <w:p>
      <w:pPr>
        <w:pStyle w:val="LOnormal"/>
        <w:numPr>
          <w:ilvl w:val="0"/>
          <w:numId w:val="3"/>
        </w:numPr>
        <w:spacing w:lineRule="auto" w:line="360" w:before="170" w:after="170"/>
        <w:ind w:left="720" w:hanging="720"/>
        <w:rPr/>
      </w:pPr>
      <w:r>
        <w:rPr>
          <w:rFonts w:eastAsia="Verdana" w:cs="Verdana" w:ascii="Verdana" w:hAnsi="Verdana"/>
          <w:color w:val="000000"/>
          <w:sz w:val="20"/>
          <w:szCs w:val="20"/>
        </w:rPr>
        <w:t xml:space="preserve">If you maintain your unlawful position to refuse access to customers with exemptions from wearing a face covering, then you are obliged to provide your products and/or services by alternative means such as </w:t>
      </w:r>
      <w:r>
        <w:rPr>
          <w:rFonts w:eastAsia="Verdana" w:cs="Verdana" w:ascii="Verdana" w:hAnsi="Verdana"/>
          <w:b/>
          <w:color w:val="000000"/>
          <w:sz w:val="20"/>
          <w:szCs w:val="20"/>
        </w:rPr>
        <w:t>contactless delivery or pick up within a reasonable time and at reasonable cost</w:t>
      </w:r>
      <w:r>
        <w:rPr>
          <w:rFonts w:eastAsia="Verdana" w:cs="Verdana" w:ascii="Verdana" w:hAnsi="Verdana"/>
          <w:color w:val="000000"/>
          <w:sz w:val="20"/>
          <w:szCs w:val="20"/>
        </w:rPr>
        <w:t xml:space="preserve">. </w:t>
      </w:r>
    </w:p>
    <w:p>
      <w:pPr>
        <w:pStyle w:val="LOnormal"/>
        <w:numPr>
          <w:ilvl w:val="0"/>
          <w:numId w:val="3"/>
        </w:numPr>
        <w:spacing w:lineRule="auto" w:line="360" w:before="170" w:after="170"/>
        <w:ind w:left="720" w:hanging="720"/>
        <w:rPr/>
      </w:pPr>
      <w:r>
        <w:rPr>
          <w:rFonts w:eastAsia="Verdana" w:cs="Verdana" w:ascii="Verdana" w:hAnsi="Verdana"/>
          <w:color w:val="000000"/>
          <w:sz w:val="20"/>
          <w:szCs w:val="20"/>
        </w:rPr>
        <w:t xml:space="preserve">If customers are disadvantaged because of their exemption from wearing of face coverings, </w:t>
      </w:r>
      <w:r>
        <w:rPr>
          <w:rFonts w:eastAsia="Verdana" w:cs="Verdana" w:ascii="Verdana" w:hAnsi="Verdana"/>
          <w:sz w:val="20"/>
          <w:szCs w:val="20"/>
        </w:rPr>
        <w:t>and your store is the only one in the locality which the customer is able to access due to travel restrictions in the current Traffic Light System, your business may be held liable, particularly if the customer cannot access goods or services through contactless delivery (or other reasonable alternative) within a reasonable time and at reasonable cost.</w:t>
      </w:r>
    </w:p>
    <w:p>
      <w:pPr>
        <w:pStyle w:val="LOnormal"/>
        <w:spacing w:lineRule="auto" w:line="360" w:before="170" w:after="170"/>
        <w:ind w:left="720" w:hanging="0"/>
        <w:rPr/>
      </w:pPr>
      <w:r>
        <w:rPr>
          <w:rFonts w:eastAsia="Verdana" w:cs="Verdana" w:ascii="Verdana" w:hAnsi="Verdana"/>
          <w:b/>
          <w:sz w:val="20"/>
          <w:szCs w:val="20"/>
        </w:rPr>
        <w:t>Why am I writing to you?</w:t>
      </w:r>
    </w:p>
    <w:p>
      <w:pPr>
        <w:pStyle w:val="LOnormal"/>
        <w:numPr>
          <w:ilvl w:val="0"/>
          <w:numId w:val="3"/>
        </w:numPr>
        <w:spacing w:lineRule="auto" w:line="360" w:before="170" w:after="170"/>
        <w:ind w:left="720" w:hanging="720"/>
        <w:rPr/>
      </w:pPr>
      <w:r>
        <w:rPr>
          <w:rFonts w:eastAsia="Verdana" w:cs="Verdana" w:ascii="Verdana" w:hAnsi="Verdana"/>
          <w:sz w:val="20"/>
          <w:szCs w:val="20"/>
          <w:highlight w:val="yellow"/>
        </w:rPr>
        <w:t>[Set out the facts that have led to this complaint due to non-compliance with the above mentioned law.  Include date(s) and time(s), places, names of persons involved and other relevant circumstances, including circumstances precluding access to goods or services through contactless delivery]</w:t>
      </w:r>
    </w:p>
    <w:p>
      <w:pPr>
        <w:pStyle w:val="LOnormal"/>
        <w:numPr>
          <w:ilvl w:val="0"/>
          <w:numId w:val="3"/>
        </w:numPr>
        <w:spacing w:lineRule="auto" w:line="360" w:before="170" w:after="170"/>
        <w:ind w:left="720" w:hanging="720"/>
        <w:rPr/>
      </w:pPr>
      <w:bookmarkStart w:id="0" w:name="_gjdgxs"/>
      <w:bookmarkEnd w:id="0"/>
      <w:r>
        <w:rPr>
          <w:rFonts w:eastAsia="Verdana" w:cs="Verdana" w:ascii="Verdana" w:hAnsi="Verdana"/>
          <w:sz w:val="20"/>
          <w:szCs w:val="20"/>
        </w:rPr>
        <w:t xml:space="preserve">In circumstances where travel restrictions apply and your store is the only one available to me in my locality, your failure to supply me with essential goods / services is unlawful as it fails to recognise an exemption based on my disability or condition </w:t>
      </w:r>
    </w:p>
    <w:p>
      <w:pPr>
        <w:pStyle w:val="LOnormal"/>
        <w:numPr>
          <w:ilvl w:val="0"/>
          <w:numId w:val="3"/>
        </w:numPr>
        <w:spacing w:lineRule="auto" w:line="360" w:before="170" w:after="170"/>
        <w:ind w:left="720" w:hanging="720"/>
        <w:rPr/>
      </w:pPr>
      <w:r>
        <w:rPr>
          <w:rFonts w:eastAsia="Verdana" w:cs="Verdana" w:ascii="Verdana" w:hAnsi="Verdana"/>
          <w:sz w:val="20"/>
          <w:szCs w:val="20"/>
        </w:rPr>
        <w:t xml:space="preserve">Please advise me, </w:t>
      </w:r>
      <w:r>
        <w:rPr>
          <w:rFonts w:eastAsia="Verdana" w:cs="Verdana" w:ascii="Verdana" w:hAnsi="Verdana"/>
          <w:b/>
          <w:sz w:val="20"/>
          <w:szCs w:val="20"/>
        </w:rPr>
        <w:t xml:space="preserve">within 48 hours </w:t>
      </w:r>
      <w:r>
        <w:rPr>
          <w:rFonts w:eastAsia="Verdana" w:cs="Verdana" w:ascii="Verdana" w:hAnsi="Verdana"/>
          <w:sz w:val="20"/>
          <w:szCs w:val="20"/>
        </w:rPr>
        <w:t>of the date of this letter, as to the steps you will take to remedy your failure to abide by the law and to ensure my rights are observed. If no satisfactory response is received within that timeframe, I reserve my right to pursue legal remedies against your business.</w:t>
      </w:r>
    </w:p>
    <w:p>
      <w:pPr>
        <w:pStyle w:val="LOnormal"/>
        <w:spacing w:lineRule="auto" w:line="360" w:before="170" w:after="170"/>
        <w:ind w:firstLine="720"/>
        <w:rPr>
          <w:rFonts w:ascii="Verdana" w:hAnsi="Verdana" w:eastAsia="Verdana" w:cs="Verdana"/>
          <w:color w:val="000000"/>
          <w:sz w:val="20"/>
          <w:szCs w:val="20"/>
        </w:rPr>
      </w:pPr>
      <w:r>
        <w:rPr>
          <w:rFonts w:eastAsia="Verdana" w:cs="Verdana" w:ascii="Verdana" w:hAnsi="Verdana"/>
          <w:color w:val="000000"/>
          <w:sz w:val="20"/>
          <w:szCs w:val="20"/>
        </w:rPr>
      </w:r>
    </w:p>
    <w:p>
      <w:pPr>
        <w:pStyle w:val="LOnormal"/>
        <w:spacing w:lineRule="auto" w:line="360" w:before="170" w:after="170"/>
        <w:rPr/>
      </w:pPr>
      <w:r>
        <w:rPr>
          <w:rFonts w:eastAsia="Verdana" w:cs="Verdana" w:ascii="Verdana" w:hAnsi="Verdana"/>
          <w:color w:val="000000"/>
          <w:sz w:val="20"/>
          <w:szCs w:val="20"/>
        </w:rPr>
        <w:t xml:space="preserve">Yours </w:t>
      </w:r>
      <w:r>
        <w:rPr>
          <w:rFonts w:eastAsia="Verdana" w:cs="Verdana" w:ascii="Verdana" w:hAnsi="Verdana"/>
          <w:sz w:val="20"/>
          <w:szCs w:val="20"/>
        </w:rPr>
        <w:t>sincerely,</w:t>
      </w:r>
    </w:p>
    <w:p>
      <w:pPr>
        <w:pStyle w:val="LOnormal"/>
        <w:spacing w:lineRule="auto" w:line="360" w:before="170" w:after="170"/>
        <w:rPr/>
      </w:pPr>
      <w:r>
        <w:rPr>
          <w:rFonts w:eastAsia="Verdana" w:cs="Verdana" w:ascii="Verdana" w:hAnsi="Verdana"/>
          <w:sz w:val="20"/>
          <w:szCs w:val="20"/>
        </w:rPr>
        <w:t>Email: [</w:t>
      </w:r>
      <w:r>
        <w:rPr>
          <w:rFonts w:eastAsia="Verdana" w:cs="Verdana" w:ascii="Verdana" w:hAnsi="Verdana"/>
          <w:sz w:val="20"/>
          <w:szCs w:val="20"/>
          <w:highlight w:val="yellow"/>
        </w:rPr>
        <w:t>insert e-mail address</w:t>
      </w:r>
      <w:r>
        <w:rPr>
          <w:rFonts w:eastAsia="Verdana" w:cs="Verdana" w:ascii="Verdana" w:hAnsi="Verdana"/>
          <w:sz w:val="20"/>
          <w:szCs w:val="20"/>
        </w:rPr>
        <w:t>]</w:t>
      </w:r>
    </w:p>
    <w:sectPr>
      <w:headerReference w:type="default" r:id="rId12"/>
      <w:footerReference w:type="default" r:id="rId13"/>
      <w:footnotePr>
        <w:numFmt w:val="decimal"/>
      </w:footnotePr>
      <w:type w:val="nextPage"/>
      <w:pgSz w:w="12240" w:h="15840"/>
      <w:pgMar w:left="1440" w:right="1440" w:header="708" w:top="1440" w:footer="708" w:bottom="1440"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roman"/>
    <w:pitch w:val="variable"/>
  </w:font>
  <w:font w:name="Georgia">
    <w:charset w:val="01"/>
    <w:family w:val="roman"/>
    <w:pitch w:val="variable"/>
  </w:font>
  <w:font w:name="Verdana">
    <w:charset w:val="01"/>
    <w:family w:val="roman"/>
    <w:pitch w:val="variable"/>
  </w:font>
  <w:font w:name="Times">
    <w:altName w:val="Times New Roman"/>
    <w:charset w:val="01"/>
    <w:family w:val="roman"/>
    <w:pitch w:val="variable"/>
  </w:font>
  <w:font w:name="Times New Roman">
    <w:charset w:val="01"/>
    <w:family w:val="roman"/>
    <w:pitch w:val="variable"/>
  </w:font>
  <w:font w:name="Noto Sans Symbols">
    <w:charset w:val="01"/>
    <w:family w:val="auto"/>
    <w:pitch w:val="default"/>
  </w:font>
  <w:font w:name="Courier New">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LOnormal"/>
      <w:tabs>
        <w:tab w:val="clear" w:pos="720"/>
        <w:tab w:val="center" w:pos="4680" w:leader="none"/>
        <w:tab w:val="right" w:pos="9360" w:leader="none"/>
      </w:tabs>
      <w:spacing w:lineRule="auto" w:line="240" w:before="0" w:after="0"/>
      <w:jc w:val="right"/>
      <w:rPr>
        <w:color w:val="000000"/>
      </w:rPr>
    </w:pPr>
    <w:r>
      <w:rPr/>
      <w:fldChar w:fldCharType="begin"/>
    </w:r>
    <w:r>
      <w:rPr/>
      <w:instrText> PAGE </w:instrText>
    </w:r>
    <w:r>
      <w:rPr/>
      <w:fldChar w:fldCharType="separate"/>
    </w:r>
    <w:r>
      <w:rPr/>
      <w:t>6</w:t>
    </w:r>
    <w:r>
      <w:rPr/>
      <w:fldChar w:fldCharType="end"/>
    </w:r>
  </w:p>
  <w:p>
    <w:pPr>
      <w:pStyle w:val="LOnormal"/>
      <w:tabs>
        <w:tab w:val="clear" w:pos="720"/>
        <w:tab w:val="center" w:pos="4680" w:leader="none"/>
        <w:tab w:val="right" w:pos="9360" w:leader="none"/>
      </w:tabs>
      <w:spacing w:lineRule="auto" w:line="240" w:before="0" w:after="0"/>
      <w:rPr>
        <w:color w:val="000000"/>
      </w:rPr>
    </w:pPr>
    <w:r>
      <w:rPr>
        <w:color w:val="000000"/>
      </w:rPr>
      <w:t>FC2v6</w: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LOnormal"/>
      <w:tabs>
        <w:tab w:val="clear" w:pos="720"/>
        <w:tab w:val="center" w:pos="4680" w:leader="none"/>
        <w:tab w:val="right" w:pos="9360" w:leader="none"/>
      </w:tabs>
      <w:spacing w:lineRule="auto" w:line="240" w:before="0" w:after="0"/>
      <w:jc w:val="right"/>
      <w:rPr>
        <w:color w:val="000000"/>
      </w:rPr>
    </w:pPr>
    <w:r>
      <w:rPr/>
      <w:fldChar w:fldCharType="begin"/>
    </w:r>
    <w:r>
      <w:rPr/>
      <w:instrText> PAGE </w:instrText>
    </w:r>
    <w:r>
      <w:rPr/>
      <w:fldChar w:fldCharType="separate"/>
    </w:r>
    <w:r>
      <w:rPr/>
      <w:t>10</w:t>
    </w:r>
    <w:r>
      <w:rPr/>
      <w:fldChar w:fldCharType="end"/>
    </w:r>
  </w:p>
  <w:p>
    <w:pPr>
      <w:pStyle w:val="LOnormal"/>
      <w:tabs>
        <w:tab w:val="clear" w:pos="720"/>
        <w:tab w:val="center" w:pos="4680" w:leader="none"/>
        <w:tab w:val="right" w:pos="9360" w:leader="none"/>
      </w:tabs>
      <w:spacing w:lineRule="auto" w:line="240" w:before="0" w:after="0"/>
      <w:rPr>
        <w:color w:val="000000"/>
      </w:rPr>
    </w:pPr>
    <w:r>
      <w:rPr>
        <w:color w:val="000000"/>
      </w:rPr>
      <w:t>FC2v6</w: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Footnote"/>
        <w:spacing w:before="0" w:after="160"/>
        <w:rPr/>
      </w:pPr>
      <w:r>
        <w:rPr>
          <w:rStyle w:val="FootnoteCharacters"/>
        </w:rPr>
        <w:footnoteRef/>
      </w:r>
      <w:r>
        <w:rPr>
          <w:sz w:val="18"/>
          <w:szCs w:val="18"/>
        </w:rPr>
        <w:t xml:space="preserve"> </w:t>
      </w:r>
      <w:r>
        <w:rPr>
          <w:sz w:val="18"/>
          <w:szCs w:val="18"/>
        </w:rPr>
        <w:t xml:space="preserve">Clause 23 of the Order </w:t>
      </w:r>
      <w:hyperlink r:id="rId1">
        <w:r>
          <w:rPr>
            <w:rStyle w:val="InternetLink"/>
            <w:sz w:val="18"/>
            <w:szCs w:val="18"/>
          </w:rPr>
          <w:t>https://www.legislation.govt.nz/regulation/public/2021/0386/latest/LMS602502.html</w:t>
        </w:r>
      </w:hyperlink>
    </w:p>
  </w:footnote>
  <w:footnote w:id="3">
    <w:p>
      <w:pPr>
        <w:pStyle w:val="Footnote"/>
        <w:spacing w:before="0" w:after="160"/>
        <w:rPr/>
      </w:pPr>
      <w:r>
        <w:rPr>
          <w:rStyle w:val="FootnoteCharacters"/>
        </w:rPr>
        <w:footnoteRef/>
      </w:r>
      <w:r>
        <w:rPr>
          <w:sz w:val="18"/>
          <w:szCs w:val="18"/>
        </w:rPr>
        <w:t xml:space="preserve"> </w:t>
      </w:r>
      <w:r>
        <w:rPr>
          <w:sz w:val="18"/>
          <w:szCs w:val="18"/>
        </w:rPr>
        <w:t xml:space="preserve">Schedule 6, Part 2A, subpart 1 and subpart 2 Order </w:t>
      </w:r>
      <w:hyperlink r:id="rId2">
        <w:r>
          <w:rPr>
            <w:rStyle w:val="InternetLink"/>
            <w:sz w:val="18"/>
            <w:szCs w:val="18"/>
          </w:rPr>
          <w:t>https://www.legislation.govt.nz/regulation/public/2021/0386/latest/LMS570864.html</w:t>
        </w:r>
      </w:hyperlink>
      <w:r>
        <w:rPr>
          <w:sz w:val="18"/>
          <w:szCs w:val="18"/>
        </w:rPr>
        <w:t xml:space="preserve"> </w:t>
      </w:r>
    </w:p>
  </w:footnote>
  <w:footnote w:id="4">
    <w:p>
      <w:pPr>
        <w:pStyle w:val="Footnote"/>
        <w:spacing w:before="0" w:after="160"/>
        <w:rPr/>
      </w:pPr>
      <w:r>
        <w:rPr>
          <w:rStyle w:val="FootnoteCharacters"/>
        </w:rPr>
        <w:footnoteRef/>
      </w:r>
      <w:r>
        <w:rPr>
          <w:sz w:val="18"/>
          <w:szCs w:val="18"/>
        </w:rPr>
        <w:t xml:space="preserve"> </w:t>
      </w:r>
      <w:r>
        <w:rPr>
          <w:sz w:val="18"/>
          <w:szCs w:val="18"/>
        </w:rPr>
        <w:t xml:space="preserve">Clause 23A of the Order </w:t>
      </w:r>
      <w:hyperlink r:id="rId3">
        <w:r>
          <w:rPr>
            <w:rStyle w:val="InternetLink"/>
            <w:sz w:val="18"/>
            <w:szCs w:val="18"/>
          </w:rPr>
          <w:t>https://www.legislation.govt.nz/regulation/public/2021/0386/latest/LMS672706.html</w:t>
        </w:r>
      </w:hyperlink>
      <w:r>
        <w:rPr>
          <w:sz w:val="18"/>
          <w:szCs w:val="18"/>
        </w:rPr>
        <w:t xml:space="preserve"> </w:t>
      </w:r>
    </w:p>
  </w:footnote>
  <w:footnote w:id="5">
    <w:p>
      <w:pPr>
        <w:pStyle w:val="Footnote"/>
        <w:spacing w:before="0" w:after="160"/>
        <w:rPr/>
      </w:pPr>
      <w:r>
        <w:rPr>
          <w:rStyle w:val="FootnoteCharacters"/>
        </w:rPr>
        <w:footnoteRef/>
      </w:r>
      <w:r>
        <w:rPr>
          <w:sz w:val="18"/>
          <w:szCs w:val="18"/>
        </w:rPr>
        <w:t xml:space="preserve"> </w:t>
      </w:r>
      <w:r>
        <w:rPr>
          <w:sz w:val="18"/>
          <w:szCs w:val="18"/>
        </w:rPr>
        <w:t xml:space="preserve">Schedule 6, Part 2A, Order </w:t>
      </w:r>
      <w:hyperlink r:id="rId4">
        <w:r>
          <w:rPr>
            <w:rStyle w:val="InternetLink"/>
            <w:sz w:val="18"/>
            <w:szCs w:val="18"/>
          </w:rPr>
          <w:t>https://www.legislation.govt.nz/regulation/public/2021/0386/latest/LMS570864.html</w:t>
        </w:r>
      </w:hyperlink>
      <w:r>
        <w:rPr>
          <w:sz w:val="18"/>
          <w:szCs w:val="18"/>
        </w:rPr>
        <w:t xml:space="preserve"> </w:t>
      </w:r>
    </w:p>
  </w:footnote>
  <w:footnote w:id="6">
    <w:p>
      <w:pPr>
        <w:pStyle w:val="Footnote"/>
        <w:spacing w:before="0" w:after="160"/>
        <w:rPr/>
      </w:pPr>
      <w:r>
        <w:rPr>
          <w:rStyle w:val="FootnoteCharacters"/>
        </w:rPr>
        <w:footnoteRef/>
      </w:r>
      <w:r>
        <w:rPr>
          <w:sz w:val="18"/>
          <w:szCs w:val="18"/>
        </w:rPr>
        <w:t xml:space="preserve"> </w:t>
      </w:r>
      <w:hyperlink r:id="rId5">
        <w:r>
          <w:rPr>
            <w:rStyle w:val="InternetLink"/>
            <w:sz w:val="18"/>
            <w:szCs w:val="18"/>
          </w:rPr>
          <w:t>https://covid19.govt.nz/prepare-and-stay-safe/keep-up-healthy-habits/wear-a-face-mask/</w:t>
        </w:r>
      </w:hyperlink>
      <w:r>
        <w:rPr>
          <w:sz w:val="18"/>
          <w:szCs w:val="18"/>
        </w:rPr>
        <w:t xml:space="preserve"> </w:t>
      </w:r>
    </w:p>
  </w:footnote>
  <w:footnote w:id="7">
    <w:p>
      <w:pPr>
        <w:pStyle w:val="LOnormal"/>
        <w:spacing w:lineRule="auto" w:line="240" w:before="0" w:after="0"/>
        <w:rPr>
          <w:rFonts w:ascii="Verdana" w:hAnsi="Verdana" w:eastAsia="Verdana" w:cs="Verdana"/>
          <w:color w:val="000000"/>
          <w:sz w:val="18"/>
          <w:szCs w:val="18"/>
        </w:rPr>
      </w:pPr>
      <w:r>
        <w:rPr>
          <w:rStyle w:val="FootnoteCharacters"/>
        </w:rPr>
        <w:footnoteRef/>
      </w:r>
      <w:r>
        <w:rPr>
          <w:rFonts w:eastAsia="Verdana" w:cs="Verdana" w:ascii="Verdana" w:hAnsi="Verdana"/>
          <w:color w:val="000000"/>
          <w:sz w:val="16"/>
          <w:szCs w:val="16"/>
        </w:rPr>
        <w:t xml:space="preserve"> </w:t>
      </w:r>
      <w:r>
        <w:fldChar w:fldCharType="begin"/>
      </w:r>
      <w:r>
        <w:rPr>
          <w:rStyle w:val="InternetLink"/>
          <w:sz w:val="18"/>
          <w:szCs w:val="18"/>
          <w:rFonts w:eastAsia="Verdana" w:cs="Calibri"/>
        </w:rPr>
        <w:instrText> HYPERLINK "https://legislation.govt.nz/regulation/public/2021/0386/latest/whole.html" \l "LMS594292"</w:instrText>
      </w:r>
      <w:r>
        <w:rPr>
          <w:rStyle w:val="InternetLink"/>
          <w:sz w:val="18"/>
          <w:szCs w:val="18"/>
          <w:rFonts w:eastAsia="Verdana" w:cs="Calibri"/>
        </w:rPr>
        <w:fldChar w:fldCharType="separate"/>
      </w:r>
      <w:r>
        <w:rPr>
          <w:rStyle w:val="InternetLink"/>
          <w:rFonts w:eastAsia="Verdana" w:cs="Calibri" w:cstheme="majorHAnsi"/>
          <w:sz w:val="18"/>
          <w:szCs w:val="18"/>
        </w:rPr>
        <w:t>https://legislation.govt.nz/regulation/public/2021/0386/latest/whole.html#LMS594292</w:t>
      </w:r>
      <w:r>
        <w:rPr>
          <w:rStyle w:val="InternetLink"/>
          <w:sz w:val="18"/>
          <w:szCs w:val="18"/>
          <w:rFonts w:eastAsia="Verdana" w:cs="Calibri"/>
        </w:rPr>
        <w:fldChar w:fldCharType="end"/>
      </w:r>
    </w:p>
  </w:footnote>
  <w:footnote w:id="8">
    <w:p>
      <w:pPr>
        <w:pStyle w:val="LOnormal"/>
        <w:spacing w:lineRule="auto" w:line="240" w:before="0" w:after="0"/>
        <w:rPr>
          <w:color w:val="000099"/>
          <w:sz w:val="20"/>
          <w:szCs w:val="20"/>
        </w:rPr>
      </w:pPr>
      <w:r>
        <w:rPr>
          <w:rStyle w:val="FootnoteCharacters"/>
        </w:rPr>
        <w:footnoteRef/>
      </w:r>
      <w:r>
        <w:rPr>
          <w:color w:val="000000"/>
          <w:sz w:val="20"/>
          <w:szCs w:val="20"/>
        </w:rPr>
        <w:t xml:space="preserve"> </w:t>
      </w:r>
      <w:r>
        <w:rPr>
          <w:color w:val="000000"/>
          <w:sz w:val="18"/>
          <w:szCs w:val="18"/>
        </w:rPr>
        <w:t xml:space="preserve">The Government's Unite Against Covid site confirms </w:t>
      </w:r>
      <w:r>
        <w:rPr>
          <w:i/>
          <w:color w:val="000000"/>
          <w:sz w:val="18"/>
          <w:szCs w:val="18"/>
        </w:rPr>
        <w:t xml:space="preserve">"The use of this card is self-regulated and decided upon by the individual." </w:t>
      </w:r>
      <w:r>
        <w:fldChar w:fldCharType="begin"/>
      </w:r>
      <w:r>
        <w:rPr>
          <w:sz w:val="18"/>
          <w:u w:val="single"/>
          <w:szCs w:val="18"/>
          <w:color w:val="000099"/>
        </w:rPr>
        <w:instrText> HYPERLINK "https://www.dpa.org.nz/resources/covid-19-information-for-the-disabled-community" \l "exempt"</w:instrText>
      </w:r>
      <w:r>
        <w:rPr>
          <w:sz w:val="18"/>
          <w:u w:val="single"/>
          <w:szCs w:val="18"/>
          <w:color w:val="000099"/>
        </w:rPr>
        <w:fldChar w:fldCharType="separate"/>
      </w:r>
      <w:r>
        <w:rPr>
          <w:color w:val="000099"/>
          <w:sz w:val="18"/>
          <w:szCs w:val="18"/>
          <w:u w:val="single"/>
        </w:rPr>
        <w:t>https://www.dpa.org.nz/resources/covid-19-information-for-the-disabled-community#exempt</w:t>
      </w:r>
      <w:r>
        <w:rPr>
          <w:sz w:val="18"/>
          <w:u w:val="single"/>
          <w:szCs w:val="18"/>
          <w:color w:val="000099"/>
        </w:rPr>
        <w:fldChar w:fldCharType="end"/>
      </w:r>
    </w:p>
  </w:footnote>
  <w:footnote w:id="9">
    <w:p>
      <w:pPr>
        <w:pStyle w:val="Footnote"/>
        <w:spacing w:before="0" w:after="0"/>
        <w:rPr/>
      </w:pPr>
      <w:r>
        <w:rPr>
          <w:rStyle w:val="FootnoteCharacters"/>
        </w:rPr>
        <w:footnoteRef/>
      </w:r>
      <w:r>
        <w:rPr/>
        <w:t xml:space="preserve"> </w:t>
      </w:r>
      <w:hyperlink r:id="rId6">
        <w:r>
          <w:rPr>
            <w:rStyle w:val="InternetLink"/>
            <w:sz w:val="18"/>
            <w:szCs w:val="18"/>
          </w:rPr>
          <w:t>https://www.health.govt.nz/covid-19-novel-coronavirus/covid-19-health-advice-public/covid-19-use-face-masks-community/covid-19-advice-people-who-are-unable-wear-face-mask</w:t>
        </w:r>
      </w:hyperlink>
      <w:r>
        <w:rPr/>
        <w:t xml:space="preserve"> </w:t>
      </w:r>
    </w:p>
  </w:footnote>
  <w:footnote w:id="10">
    <w:p>
      <w:pPr>
        <w:pStyle w:val="Footnote"/>
        <w:spacing w:before="0" w:after="0"/>
        <w:rPr/>
      </w:pPr>
      <w:r>
        <w:rPr>
          <w:rStyle w:val="FootnoteCharacters"/>
        </w:rPr>
        <w:footnoteRef/>
      </w:r>
      <w:r>
        <w:rPr/>
        <w:t xml:space="preserve"> </w:t>
      </w:r>
      <w:r>
        <w:fldChar w:fldCharType="begin"/>
      </w:r>
      <w:r>
        <w:rPr>
          <w:rStyle w:val="InternetLink"/>
          <w:sz w:val="18"/>
          <w:szCs w:val="18"/>
        </w:rPr>
        <w:instrText> HYPERLINK "https://www.health.govt.nz/covid-19-novel-coronavirus/covid-19-health-advice-public/covid-19-use-face-masks-community/covid-19-advice-people-who-have-difficulties-wearing-face-mask" \l "advice-comm-card"</w:instrText>
      </w:r>
      <w:r>
        <w:rPr>
          <w:rStyle w:val="InternetLink"/>
          <w:sz w:val="18"/>
          <w:szCs w:val="18"/>
        </w:rPr>
        <w:fldChar w:fldCharType="separate"/>
      </w:r>
      <w:r>
        <w:rPr>
          <w:rStyle w:val="InternetLink"/>
          <w:sz w:val="18"/>
          <w:szCs w:val="18"/>
        </w:rPr>
        <w:t>https://www.health.govt.nz/covid-19-novel-coronavirus/covid-19-health-advice-public/covid-19-use-face-masks-community/covid-19-advice-people-who-have-difficulties-wearing-face-mask#advice-comm-card</w:t>
      </w:r>
      <w:r>
        <w:rPr>
          <w:rStyle w:val="InternetLink"/>
          <w:sz w:val="18"/>
          <w:szCs w:val="18"/>
        </w:rPr>
        <w:fldChar w:fldCharType="end"/>
      </w:r>
      <w:r>
        <w:rPr>
          <w:sz w:val="18"/>
          <w:szCs w:val="18"/>
        </w:rPr>
        <w:t xml:space="preserve"> </w:t>
      </w:r>
    </w:p>
  </w:footnote>
  <w:footnote w:id="11">
    <w:p>
      <w:pPr>
        <w:pStyle w:val="Footnote"/>
        <w:spacing w:before="0" w:after="160"/>
        <w:rPr>
          <w:sz w:val="18"/>
          <w:szCs w:val="18"/>
        </w:rPr>
      </w:pPr>
      <w:r>
        <w:rPr>
          <w:rStyle w:val="FootnoteCharacters"/>
        </w:rPr>
        <w:footnoteRef/>
      </w:r>
      <w:r>
        <w:rPr>
          <w:sz w:val="18"/>
          <w:szCs w:val="18"/>
        </w:rPr>
        <w:t xml:space="preserve"> </w:t>
      </w:r>
      <w:r>
        <w:rPr>
          <w:sz w:val="18"/>
          <w:szCs w:val="18"/>
        </w:rPr>
        <w:t xml:space="preserve">Clause 11(4) and </w:t>
      </w:r>
      <w:hyperlink r:id="rId7">
        <w:r>
          <w:rPr>
            <w:rStyle w:val="InternetLink"/>
            <w:sz w:val="18"/>
            <w:szCs w:val="18"/>
          </w:rPr>
          <w:t>https://www.beehive.govt.nz/release/new-mask-exemption-card-remove-uncertainty</w:t>
        </w:r>
      </w:hyperlink>
      <w:r>
        <w:rPr>
          <w:sz w:val="18"/>
          <w:szCs w:val="18"/>
        </w:rPr>
        <w:t xml:space="preserve"> </w:t>
      </w:r>
    </w:p>
  </w:footnote>
  <w:footnote w:id="12">
    <w:p>
      <w:pPr>
        <w:pStyle w:val="LOnormal"/>
        <w:spacing w:lineRule="auto" w:line="240" w:before="0" w:after="0"/>
        <w:rPr>
          <w:rFonts w:ascii="Verdana" w:hAnsi="Verdana" w:eastAsia="Verdana" w:cs="Verdana"/>
          <w:color w:val="000000"/>
          <w:sz w:val="20"/>
          <w:szCs w:val="20"/>
        </w:rPr>
      </w:pPr>
      <w:r>
        <w:rPr>
          <w:rStyle w:val="FootnoteCharacters"/>
        </w:rPr>
        <w:footnoteRef/>
      </w:r>
      <w:r>
        <w:rPr>
          <w:rFonts w:eastAsia="Verdana" w:cs="Verdana" w:ascii="Verdana" w:hAnsi="Verdana"/>
          <w:color w:val="000000"/>
          <w:sz w:val="20"/>
          <w:szCs w:val="20"/>
        </w:rPr>
        <w:t xml:space="preserve"> </w:t>
      </w:r>
      <w:r>
        <w:rPr>
          <w:rFonts w:eastAsia="Verdana" w:cs="Calibri" w:cstheme="majorHAnsi"/>
          <w:color w:val="000099"/>
          <w:sz w:val="18"/>
          <w:szCs w:val="18"/>
        </w:rPr>
        <w:t>Section 44, Human Right Act 1993.</w:t>
      </w:r>
    </w:p>
  </w:footnote>
  <w:footnote w:id="13">
    <w:p>
      <w:pPr>
        <w:pStyle w:val="LOnormal"/>
        <w:spacing w:lineRule="auto" w:line="240" w:before="0" w:after="0"/>
        <w:rPr>
          <w:color w:val="000000"/>
          <w:sz w:val="20"/>
          <w:szCs w:val="20"/>
        </w:rPr>
      </w:pPr>
      <w:r>
        <w:rPr>
          <w:rStyle w:val="FootnoteCharacters"/>
        </w:rPr>
        <w:footnoteRef/>
      </w:r>
      <w:r>
        <w:rPr>
          <w:color w:val="000000"/>
          <w:sz w:val="20"/>
          <w:szCs w:val="20"/>
        </w:rPr>
        <w:t xml:space="preserve"> </w:t>
      </w:r>
      <w:r>
        <w:rPr>
          <w:rFonts w:eastAsia="Verdana" w:cs="Calibri" w:cstheme="majorHAnsi"/>
          <w:color w:val="000099"/>
          <w:sz w:val="18"/>
          <w:szCs w:val="18"/>
        </w:rPr>
        <w:t>Section 21(1)(h) of the Human Rights Act 1993.</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LOnormal"/>
      <w:tabs>
        <w:tab w:val="clear" w:pos="720"/>
        <w:tab w:val="center" w:pos="4680" w:leader="none"/>
        <w:tab w:val="right" w:pos="9360" w:leader="none"/>
      </w:tabs>
      <w:spacing w:lineRule="auto" w:line="240" w:before="0" w:after="0"/>
      <w:jc w:val="center"/>
      <w:rPr>
        <w:color w:val="5983B0"/>
      </w:rPr>
    </w:pPr>
    <w:r>
      <w:rPr>
        <w:color w:val="5983B0"/>
      </w:rPr>
      <w:t>MASKS EXEMPTION LETTER FOR ESSENTIAL BUSINESS</w:t>
    </w:r>
  </w:p>
  <w:p>
    <w:pPr>
      <w:pStyle w:val="LOnormal"/>
      <w:tabs>
        <w:tab w:val="clear" w:pos="720"/>
        <w:tab w:val="center" w:pos="4680" w:leader="none"/>
        <w:tab w:val="right" w:pos="9360" w:leader="none"/>
      </w:tabs>
      <w:spacing w:lineRule="auto" w:line="240" w:before="0" w:after="0"/>
      <w:rPr>
        <w:color w:val="000000"/>
      </w:rPr>
    </w:pPr>
    <w:r>
      <w:rPr>
        <w:color w:val="000000"/>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LOnormal"/>
      <w:tabs>
        <w:tab w:val="clear" w:pos="720"/>
        <w:tab w:val="center" w:pos="4680" w:leader="none"/>
        <w:tab w:val="right" w:pos="9360" w:leader="none"/>
      </w:tabs>
      <w:spacing w:lineRule="auto" w:line="240" w:before="0" w:after="0"/>
      <w:jc w:val="center"/>
      <w:rPr>
        <w:color w:val="000000"/>
      </w:rPr>
    </w:pPr>
    <w:r>
      <w:rPr>
        <w:color w:val="000000"/>
      </w:rPr>
    </w:r>
  </w:p>
  <w:p>
    <w:pPr>
      <w:pStyle w:val="LOnormal"/>
      <w:tabs>
        <w:tab w:val="clear" w:pos="720"/>
        <w:tab w:val="center" w:pos="4680" w:leader="none"/>
        <w:tab w:val="right" w:pos="9360" w:leader="none"/>
      </w:tabs>
      <w:spacing w:lineRule="auto" w:line="240" w:before="0" w:after="0"/>
      <w:rPr>
        <w:color w:val="000000"/>
      </w:rPr>
    </w:pPr>
    <w:r>
      <w:rPr>
        <w:color w:val="000000"/>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0"/>
        </w:tabs>
        <w:ind w:left="1440" w:hanging="360"/>
      </w:pPr>
      <w:rPr>
        <w:rFonts w:ascii="Noto Sans Symbols" w:hAnsi="Noto Sans Symbols" w:cs="Noto Sans Symbols"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Noto Sans Symbols" w:hAnsi="Noto Sans Symbols" w:cs="Noto Sans Symbols" w:hint="default"/>
      </w:rPr>
    </w:lvl>
    <w:lvl w:ilvl="3">
      <w:start w:val="1"/>
      <w:numFmt w:val="bullet"/>
      <w:lvlText w:val="●"/>
      <w:lvlJc w:val="left"/>
      <w:pPr>
        <w:tabs>
          <w:tab w:val="num" w:pos="0"/>
        </w:tabs>
        <w:ind w:left="3600" w:hanging="360"/>
      </w:pPr>
      <w:rPr>
        <w:rFonts w:ascii="Noto Sans Symbols" w:hAnsi="Noto Sans Symbols" w:cs="Noto Sans Symbols"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Noto Sans Symbols" w:hAnsi="Noto Sans Symbols" w:cs="Noto Sans Symbols" w:hint="default"/>
      </w:rPr>
    </w:lvl>
    <w:lvl w:ilvl="6">
      <w:start w:val="1"/>
      <w:numFmt w:val="bullet"/>
      <w:lvlText w:val="●"/>
      <w:lvlJc w:val="left"/>
      <w:pPr>
        <w:tabs>
          <w:tab w:val="num" w:pos="0"/>
        </w:tabs>
        <w:ind w:left="5760" w:hanging="360"/>
      </w:pPr>
      <w:rPr>
        <w:rFonts w:ascii="Noto Sans Symbols" w:hAnsi="Noto Sans Symbols" w:cs="Noto Sans Symbols"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Noto Sans Symbols" w:hAnsi="Noto Sans Symbols" w:cs="Noto Sans Symbols" w:hint="default"/>
      </w:rPr>
    </w:lvl>
  </w:abstractNum>
  <w:abstractNum w:abstractNumId="2">
    <w:lvl w:ilvl="0">
      <w:start w:val="1"/>
      <w:numFmt w:val="lowerRoman"/>
      <w:lvlText w:val="(%1)"/>
      <w:lvlJc w:val="left"/>
      <w:pPr>
        <w:tabs>
          <w:tab w:val="num" w:pos="0"/>
        </w:tabs>
        <w:ind w:left="2880" w:hanging="720"/>
      </w:pPr>
    </w:lvl>
    <w:lvl w:ilvl="1">
      <w:start w:val="1"/>
      <w:numFmt w:val="lowerLetter"/>
      <w:lvlText w:val="%2."/>
      <w:lvlJc w:val="left"/>
      <w:pPr>
        <w:tabs>
          <w:tab w:val="num" w:pos="0"/>
        </w:tabs>
        <w:ind w:left="3240" w:hanging="360"/>
      </w:pPr>
    </w:lvl>
    <w:lvl w:ilvl="2">
      <w:start w:val="1"/>
      <w:numFmt w:val="lowerRoman"/>
      <w:lvlText w:val="%3."/>
      <w:lvlJc w:val="right"/>
      <w:pPr>
        <w:tabs>
          <w:tab w:val="num" w:pos="0"/>
        </w:tabs>
        <w:ind w:left="3960" w:hanging="180"/>
      </w:pPr>
    </w:lvl>
    <w:lvl w:ilvl="3">
      <w:start w:val="1"/>
      <w:numFmt w:val="decimal"/>
      <w:lvlText w:val="%4."/>
      <w:lvlJc w:val="left"/>
      <w:pPr>
        <w:tabs>
          <w:tab w:val="num" w:pos="0"/>
        </w:tabs>
        <w:ind w:left="4680" w:hanging="360"/>
      </w:pPr>
    </w:lvl>
    <w:lvl w:ilvl="4">
      <w:start w:val="1"/>
      <w:numFmt w:val="lowerLetter"/>
      <w:lvlText w:val="%5."/>
      <w:lvlJc w:val="left"/>
      <w:pPr>
        <w:tabs>
          <w:tab w:val="num" w:pos="0"/>
        </w:tabs>
        <w:ind w:left="5400" w:hanging="360"/>
      </w:pPr>
    </w:lvl>
    <w:lvl w:ilvl="5">
      <w:start w:val="1"/>
      <w:numFmt w:val="lowerRoman"/>
      <w:lvlText w:val="%6."/>
      <w:lvlJc w:val="right"/>
      <w:pPr>
        <w:tabs>
          <w:tab w:val="num" w:pos="0"/>
        </w:tabs>
        <w:ind w:left="6120" w:hanging="180"/>
      </w:pPr>
    </w:lvl>
    <w:lvl w:ilvl="6">
      <w:start w:val="1"/>
      <w:numFmt w:val="decimal"/>
      <w:lvlText w:val="%7."/>
      <w:lvlJc w:val="left"/>
      <w:pPr>
        <w:tabs>
          <w:tab w:val="num" w:pos="0"/>
        </w:tabs>
        <w:ind w:left="6840" w:hanging="360"/>
      </w:pPr>
    </w:lvl>
    <w:lvl w:ilvl="7">
      <w:start w:val="1"/>
      <w:numFmt w:val="lowerLetter"/>
      <w:lvlText w:val="%8."/>
      <w:lvlJc w:val="left"/>
      <w:pPr>
        <w:tabs>
          <w:tab w:val="num" w:pos="0"/>
        </w:tabs>
        <w:ind w:left="7560" w:hanging="360"/>
      </w:pPr>
    </w:lvl>
    <w:lvl w:ilvl="8">
      <w:start w:val="1"/>
      <w:numFmt w:val="lowerRoman"/>
      <w:lvlText w:val="%9."/>
      <w:lvlJc w:val="right"/>
      <w:pPr>
        <w:tabs>
          <w:tab w:val="num" w:pos="0"/>
        </w:tabs>
        <w:ind w:left="8280" w:hanging="180"/>
      </w:pPr>
    </w:lvl>
  </w:abstractNum>
  <w:abstractNum w:abstractNumId="3">
    <w:lvl w:ilvl="0">
      <w:start w:val="1"/>
      <w:numFmt w:val="decimal"/>
      <w:lvlText w:val="%1."/>
      <w:lvlJc w:val="left"/>
      <w:pPr>
        <w:tabs>
          <w:tab w:val="num" w:pos="0"/>
        </w:tabs>
        <w:ind w:left="720" w:hanging="360"/>
      </w:pPr>
      <w:rPr>
        <w:sz w:val="22"/>
        <w:i w:val="false"/>
        <w:b w:val="false"/>
        <w:szCs w:val="22"/>
        <w:color w:val="000000"/>
      </w:rPr>
    </w:lvl>
    <w:lvl w:ilvl="1">
      <w:start w:val="1"/>
      <w:numFmt w:val="lowerLetter"/>
      <w:lvlText w:val="%2."/>
      <w:lvlJc w:val="left"/>
      <w:pPr>
        <w:tabs>
          <w:tab w:val="num" w:pos="0"/>
        </w:tabs>
        <w:ind w:left="1440" w:hanging="360"/>
      </w:pPr>
      <w:rPr>
        <w:b w:val="false"/>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5">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8">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5"/>
    <w:lvlOverride w:ilvl="0">
      <w:startOverride w:val="1"/>
    </w:lvlOverride>
  </w:num>
</w:numbering>
</file>

<file path=word/settings.xml><?xml version="1.0" encoding="utf-8"?>
<w:settings xmlns:w="http://schemas.openxmlformats.org/wordprocessingml/2006/main">
  <w:zoom w:percent="100"/>
  <w:defaultTabStop w:val="720"/>
  <w:autoHyphenation w:val="true"/>
  <w:footnotePr>
    <w:numFmt w:val="decimal"/>
    <w:footnote w:id="0"/>
    <w:footnote w:id="1"/>
  </w:footnotePr>
  <w:compat>
    <w:compatSetting w:name="compatibilityMode" w:uri="http://schemas.microsoft.com/office/word" w:val="14"/>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Cs w:val="22"/>
        <w:lang w:val="en-NZ" w:eastAsia="zh-CN" w:bidi="hi-IN"/>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Calibri"/>
      <w:color w:val="auto"/>
      <w:kern w:val="0"/>
      <w:sz w:val="22"/>
      <w:szCs w:val="22"/>
      <w:lang w:val="en-NZ" w:eastAsia="zh-CN" w:bidi="hi-IN"/>
    </w:rPr>
  </w:style>
  <w:style w:type="paragraph" w:styleId="Heading1">
    <w:name w:val="Heading 1"/>
    <w:basedOn w:val="LOnormal"/>
    <w:next w:val="LOnormal"/>
    <w:qFormat/>
    <w:pPr>
      <w:keepNext w:val="true"/>
      <w:keepLines/>
      <w:spacing w:lineRule="auto" w:line="240" w:before="480" w:after="120"/>
      <w:outlineLvl w:val="0"/>
    </w:pPr>
    <w:rPr>
      <w:b/>
      <w:sz w:val="48"/>
      <w:szCs w:val="48"/>
    </w:rPr>
  </w:style>
  <w:style w:type="paragraph" w:styleId="Heading2">
    <w:name w:val="Heading 2"/>
    <w:basedOn w:val="LOnormal"/>
    <w:next w:val="LOnormal"/>
    <w:qFormat/>
    <w:pPr>
      <w:keepNext w:val="true"/>
      <w:keepLines/>
      <w:spacing w:lineRule="auto" w:line="240" w:before="360" w:after="80"/>
      <w:outlineLvl w:val="1"/>
    </w:pPr>
    <w:rPr>
      <w:b/>
      <w:sz w:val="36"/>
      <w:szCs w:val="36"/>
    </w:rPr>
  </w:style>
  <w:style w:type="paragraph" w:styleId="Heading3">
    <w:name w:val="Heading 3"/>
    <w:basedOn w:val="LOnormal"/>
    <w:next w:val="LOnormal"/>
    <w:qFormat/>
    <w:pPr>
      <w:keepNext w:val="true"/>
      <w:keepLines/>
      <w:spacing w:lineRule="auto" w:line="240" w:before="280" w:after="80"/>
      <w:outlineLvl w:val="2"/>
    </w:pPr>
    <w:rPr>
      <w:b/>
      <w:sz w:val="28"/>
      <w:szCs w:val="28"/>
    </w:rPr>
  </w:style>
  <w:style w:type="paragraph" w:styleId="Heading4">
    <w:name w:val="Heading 4"/>
    <w:basedOn w:val="LOnormal"/>
    <w:next w:val="LOnormal"/>
    <w:qFormat/>
    <w:pPr>
      <w:keepNext w:val="true"/>
      <w:keepLines/>
      <w:spacing w:lineRule="auto" w:line="240" w:before="240" w:after="40"/>
      <w:outlineLvl w:val="3"/>
    </w:pPr>
    <w:rPr>
      <w:b/>
      <w:sz w:val="24"/>
      <w:szCs w:val="24"/>
    </w:rPr>
  </w:style>
  <w:style w:type="paragraph" w:styleId="Heading5">
    <w:name w:val="Heading 5"/>
    <w:basedOn w:val="LOnormal"/>
    <w:next w:val="LOnormal"/>
    <w:qFormat/>
    <w:pPr>
      <w:keepNext w:val="true"/>
      <w:keepLines/>
      <w:spacing w:lineRule="auto" w:line="240" w:before="220" w:after="40"/>
      <w:outlineLvl w:val="4"/>
    </w:pPr>
    <w:rPr>
      <w:b/>
    </w:rPr>
  </w:style>
  <w:style w:type="paragraph" w:styleId="Heading6">
    <w:name w:val="Heading 6"/>
    <w:basedOn w:val="LOnormal"/>
    <w:next w:val="LOnormal"/>
    <w:qFormat/>
    <w:pPr>
      <w:keepNext w:val="true"/>
      <w:keepLines/>
      <w:spacing w:lineRule="auto" w:line="240" w:before="200" w:after="40"/>
      <w:outlineLvl w:val="5"/>
    </w:pPr>
    <w:rPr>
      <w:b/>
      <w:sz w:val="20"/>
      <w:szCs w:val="20"/>
    </w:rPr>
  </w:style>
  <w:style w:type="character" w:styleId="DefaultParagraphFont" w:default="1">
    <w:name w:val="Default Paragraph Font"/>
    <w:uiPriority w:val="1"/>
    <w:semiHidden/>
    <w:unhideWhenUsed/>
    <w:qFormat/>
    <w:rPr/>
  </w:style>
  <w:style w:type="character" w:styleId="InternetLink">
    <w:name w:val="Hyperlink"/>
    <w:rPr>
      <w:color w:val="000080"/>
      <w:u w:val="single"/>
    </w:rPr>
  </w:style>
  <w:style w:type="character" w:styleId="FootnoteCharacters" w:customStyle="1">
    <w:name w:val="Footnote Characters"/>
    <w:qFormat/>
    <w:rPr/>
  </w:style>
  <w:style w:type="character" w:styleId="FootnoteAnchor" w:customStyle="1">
    <w:name w:val="Footnote Anchor"/>
    <w:rPr>
      <w:vertAlign w:val="superscript"/>
    </w:rPr>
  </w:style>
  <w:style w:type="character" w:styleId="VisitedInternetLink">
    <w:name w:val="FollowedHyperlink"/>
    <w:basedOn w:val="DefaultParagraphFont"/>
    <w:rPr>
      <w:color w:val="800080" w:themeColor="followedHyperlink"/>
      <w:u w:val="single"/>
    </w:rPr>
  </w:style>
  <w:style w:type="character" w:styleId="EndnoteAnchor" w:customStyle="1">
    <w:name w:val="Endnote Anchor"/>
    <w:rPr>
      <w:vertAlign w:val="superscript"/>
    </w:rPr>
  </w:style>
  <w:style w:type="character" w:styleId="EndnoteCharacters" w:customStyle="1">
    <w:name w:val="Endnote Characters"/>
    <w:qFormat/>
    <w:rPr/>
  </w:style>
  <w:style w:type="character" w:styleId="BalloonTextChar" w:customStyle="1">
    <w:name w:val="Balloon Text Char"/>
    <w:basedOn w:val="DefaultParagraphFont"/>
    <w:link w:val="BalloonText"/>
    <w:uiPriority w:val="99"/>
    <w:semiHidden/>
    <w:qFormat/>
    <w:rsid w:val="00bb0119"/>
    <w:rPr>
      <w:rFonts w:ascii="Tahoma" w:hAnsi="Tahoma" w:cs="Mangal"/>
      <w:sz w:val="16"/>
      <w:szCs w:val="14"/>
    </w:rPr>
  </w:style>
  <w:style w:type="character" w:styleId="NumberingSymbols" w:customStyle="1">
    <w:name w:val="Numbering Symbols"/>
    <w:qFormat/>
    <w:rPr/>
  </w:style>
  <w:style w:type="paragraph" w:styleId="Heading" w:customStyle="1">
    <w:name w:val="Heading"/>
    <w:basedOn w:val="Normal"/>
    <w:next w:val="TextBody"/>
    <w:qFormat/>
    <w:pPr>
      <w:keepNext w:val="true"/>
      <w:spacing w:before="240" w:after="120"/>
    </w:pPr>
    <w:rPr>
      <w:rFonts w:ascii="Liberation Sans" w:hAnsi="Liberation Sans" w:eastAsia="PingFang SC"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customStyle="1">
    <w:name w:val="Index"/>
    <w:basedOn w:val="Normal"/>
    <w:qFormat/>
    <w:pPr>
      <w:suppressLineNumbers/>
    </w:pPr>
    <w:rPr>
      <w:rFonts w:cs="Lucida Sans"/>
    </w:rPr>
  </w:style>
  <w:style w:type="paragraph" w:styleId="Caption1">
    <w:name w:val="caption"/>
    <w:basedOn w:val="Normal"/>
    <w:qFormat/>
    <w:pPr>
      <w:suppressLineNumbers/>
      <w:spacing w:before="120" w:after="120"/>
    </w:pPr>
    <w:rPr>
      <w:rFonts w:cs="Lucida Sans"/>
      <w:i/>
      <w:iCs/>
      <w:sz w:val="24"/>
      <w:szCs w:val="24"/>
    </w:rPr>
  </w:style>
  <w:style w:type="paragraph" w:styleId="LOnormal" w:customStyle="1">
    <w:name w:val="LO-normal"/>
    <w:qFormat/>
    <w:pPr>
      <w:widowControl/>
      <w:suppressAutoHyphens w:val="true"/>
      <w:bidi w:val="0"/>
      <w:spacing w:lineRule="auto" w:line="259" w:before="0" w:after="160"/>
      <w:jc w:val="left"/>
    </w:pPr>
    <w:rPr>
      <w:rFonts w:ascii="Calibri" w:hAnsi="Calibri" w:eastAsia="Calibri" w:cs="Calibri"/>
      <w:color w:val="auto"/>
      <w:kern w:val="0"/>
      <w:sz w:val="22"/>
      <w:szCs w:val="22"/>
      <w:lang w:val="en-NZ" w:eastAsia="zh-CN" w:bidi="hi-IN"/>
    </w:rPr>
  </w:style>
  <w:style w:type="paragraph" w:styleId="Title">
    <w:name w:val="Title"/>
    <w:basedOn w:val="LOnormal"/>
    <w:next w:val="LOnormal"/>
    <w:qFormat/>
    <w:pPr>
      <w:keepNext w:val="true"/>
      <w:keepLines/>
      <w:spacing w:lineRule="auto" w:line="240" w:before="480" w:after="120"/>
    </w:pPr>
    <w:rPr>
      <w:b/>
      <w:sz w:val="72"/>
      <w:szCs w:val="72"/>
    </w:rPr>
  </w:style>
  <w:style w:type="paragraph" w:styleId="Subtitle">
    <w:name w:val="Subtitle"/>
    <w:basedOn w:val="LOnormal"/>
    <w:next w:val="LOnormal"/>
    <w:qFormat/>
    <w:pPr>
      <w:keepNext w:val="true"/>
      <w:keepLines/>
      <w:spacing w:lineRule="auto" w:line="240" w:before="360" w:after="80"/>
    </w:pPr>
    <w:rPr>
      <w:rFonts w:ascii="Georgia" w:hAnsi="Georgia" w:eastAsia="Georgia" w:cs="Georgia"/>
      <w:i/>
      <w:color w:val="666666"/>
      <w:sz w:val="48"/>
      <w:szCs w:val="48"/>
    </w:rPr>
  </w:style>
  <w:style w:type="paragraph" w:styleId="Footnote">
    <w:name w:val="Footnote Text"/>
    <w:basedOn w:val="Normal"/>
    <w:pPr/>
    <w:rPr/>
  </w:style>
  <w:style w:type="paragraph" w:styleId="HeaderandFooter" w:customStyle="1">
    <w:name w:val="Header and Footer"/>
    <w:basedOn w:val="Normal"/>
    <w:qFormat/>
    <w:pPr/>
    <w:rPr/>
  </w:style>
  <w:style w:type="paragraph" w:styleId="Header">
    <w:name w:val="Header"/>
    <w:basedOn w:val="HeaderandFooter"/>
    <w:pPr/>
    <w:rPr/>
  </w:style>
  <w:style w:type="paragraph" w:styleId="Footer">
    <w:name w:val="Footer"/>
    <w:basedOn w:val="HeaderandFooter"/>
    <w:pPr/>
    <w:rPr/>
  </w:style>
  <w:style w:type="paragraph" w:styleId="BalloonText">
    <w:name w:val="Balloon Text"/>
    <w:basedOn w:val="Normal"/>
    <w:link w:val="BalloonTextChar"/>
    <w:uiPriority w:val="99"/>
    <w:semiHidden/>
    <w:unhideWhenUsed/>
    <w:qFormat/>
    <w:rsid w:val="00bb0119"/>
    <w:pPr>
      <w:spacing w:lineRule="auto" w:line="240" w:before="0" w:after="0"/>
    </w:pPr>
    <w:rPr>
      <w:rFonts w:ascii="Tahoma" w:hAnsi="Tahoma" w:cs="Mangal"/>
      <w:sz w:val="16"/>
      <w:szCs w:val="14"/>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voicesforfreedom.co.nz/resources" TargetMode="External"/><Relationship Id="rId4" Type="http://schemas.openxmlformats.org/officeDocument/2006/relationships/image" Target="media/image2.png"/><Relationship Id="rId5" Type="http://schemas.openxmlformats.org/officeDocument/2006/relationships/hyperlink" Target="https://covid19.govt.nz/about-our-covid-19-response/legislation-and-key-documents/" TargetMode="External"/><Relationship Id="rId6" Type="http://schemas.openxmlformats.org/officeDocument/2006/relationships/image" Target="media/image3.png"/><Relationship Id="rId7" Type="http://schemas.openxmlformats.org/officeDocument/2006/relationships/hyperlink" Target="https://www.health.govt.nz/covid-19-novel-coronavirus/covid-19-health-advice-public/covid-19-use-face-masks-community/covid-19-advice-people-who-are-unable-wear-face-mask" TargetMode="External"/><Relationship Id="rId8" Type="http://schemas.openxmlformats.org/officeDocument/2006/relationships/hyperlink" Target="https://www.health.govt.nz/covid-19-novel-coronavirus/covid-19-health-advice-public/covid-19-use-face-masks-community/covid-19-advice-people-who-have-difficulties-wearing-face-mask" TargetMode="External"/><Relationship Id="rId9" Type="http://schemas.openxmlformats.org/officeDocument/2006/relationships/header" Target="header1.xml"/><Relationship Id="rId10" Type="http://schemas.openxmlformats.org/officeDocument/2006/relationships/footer" Target="footer1.xml"/><Relationship Id="rId11" Type="http://schemas.openxmlformats.org/officeDocument/2006/relationships/image" Target="media/image4.png"/><Relationship Id="rId12" Type="http://schemas.openxmlformats.org/officeDocument/2006/relationships/header" Target="header2.xml"/><Relationship Id="rId13" Type="http://schemas.openxmlformats.org/officeDocument/2006/relationships/footer" Target="footer2.xml"/><Relationship Id="rId14" Type="http://schemas.openxmlformats.org/officeDocument/2006/relationships/footnotes" Target="footnotes.xml"/><Relationship Id="rId15" Type="http://schemas.openxmlformats.org/officeDocument/2006/relationships/numbering" Target="numbering.xml"/><Relationship Id="rId16" Type="http://schemas.openxmlformats.org/officeDocument/2006/relationships/fontTable" Target="fontTable.xml"/><Relationship Id="rId17" Type="http://schemas.openxmlformats.org/officeDocument/2006/relationships/settings" Target="settings.xml"/><Relationship Id="rId18" Type="http://schemas.openxmlformats.org/officeDocument/2006/relationships/theme" Target="theme/theme1.xml"/>
</Relationships>
</file>

<file path=word/_rels/footnotes.xml.rels><?xml version="1.0" encoding="UTF-8"?>
<Relationships xmlns="http://schemas.openxmlformats.org/package/2006/relationships"><Relationship Id="rId1" Type="http://schemas.openxmlformats.org/officeDocument/2006/relationships/hyperlink" Target="https://www.legislation.govt.nz/regulation/public/2021/0386/latest/LMS602502.html" TargetMode="External"/><Relationship Id="rId2" Type="http://schemas.openxmlformats.org/officeDocument/2006/relationships/hyperlink" Target="https://www.legislation.govt.nz/regulation/public/2021/0386/latest/LMS570864.html" TargetMode="External"/><Relationship Id="rId3" Type="http://schemas.openxmlformats.org/officeDocument/2006/relationships/hyperlink" Target="https://www.legislation.govt.nz/regulation/public/2021/0386/latest/LMS672706.html" TargetMode="External"/><Relationship Id="rId4" Type="http://schemas.openxmlformats.org/officeDocument/2006/relationships/hyperlink" Target="https://www.legislation.govt.nz/regulation/public/2021/0386/latest/LMS570864.html" TargetMode="External"/><Relationship Id="rId5" Type="http://schemas.openxmlformats.org/officeDocument/2006/relationships/hyperlink" Target="https://covid19.govt.nz/prepare-and-stay-safe/keep-up-healthy-habits/wear-a-face-mask/" TargetMode="External"/><Relationship Id="rId6" Type="http://schemas.openxmlformats.org/officeDocument/2006/relationships/hyperlink" Target="https://www.health.govt.nz/covid-19-novel-coronavirus/covid-19-health-advice-public/covid-19-use-face-masks-community/covid-19-advice-people-who-are-unable-wear-face-mask" TargetMode="External"/><Relationship Id="rId7" Type="http://schemas.openxmlformats.org/officeDocument/2006/relationships/hyperlink" Target="https://www.beehive.govt.nz/release/new-mask-exemption-card-remove-uncertainty"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Application>LibreOffice/6.4.7.2$MacOSX_X86_64 LibreOffice_project/639b8ac485750d5696d7590a72ef1b496725cfb5</Application>
  <Pages>10</Pages>
  <Words>2884</Words>
  <Characters>15996</Characters>
  <CharactersWithSpaces>18750</CharactersWithSpaces>
  <Paragraphs>154</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2022-04-08T01:08:00Z</dcterms:created>
  <dc:creator>Liz Tucker</dc:creator>
  <dc:description/>
  <dc:language>en-NZ</dc:language>
  <cp:lastModifiedBy/>
  <dcterms:modified xsi:type="dcterms:W3CDTF">2022-07-22T12:51:49Z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